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13</w:t>
      </w:r>
    </w:p>
    <w:p>
      <w:pPr>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28"/>
          <w:lang w:eastAsia="zh-CN"/>
        </w:rPr>
      </w:pPr>
    </w:p>
    <w:p>
      <w:pPr>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牦牛养殖保险</w:t>
      </w:r>
    </w:p>
    <w:p>
      <w:pPr>
        <w:adjustRightInd/>
        <w:snapToGrid w:val="0"/>
        <w:spacing w:line="560" w:lineRule="exact"/>
        <w:jc w:val="center"/>
        <w:textAlignment w:val="auto"/>
        <w:rPr>
          <w:rFonts w:cs="仿宋" w:asciiTheme="minorEastAsia" w:hAnsiTheme="minorEastAsia" w:eastAsiaTheme="minorEastAsia"/>
          <w:b/>
          <w:sz w:val="44"/>
          <w:szCs w:val="44"/>
        </w:rPr>
      </w:pPr>
      <w:r>
        <w:rPr>
          <w:rFonts w:hint="eastAsia" w:ascii="方正小标宋简体" w:hAnsi="方正小标宋简体" w:eastAsia="方正小标宋简体" w:cs="方正小标宋简体"/>
          <w:b w:val="0"/>
          <w:bCs w:val="0"/>
          <w:sz w:val="44"/>
          <w:szCs w:val="28"/>
          <w:lang w:eastAsia="zh-CN"/>
        </w:rPr>
        <w:t>行业示范条款</w:t>
      </w:r>
      <w:bookmarkStart w:id="1" w:name="_GoBack"/>
      <w:bookmarkEnd w:id="1"/>
      <w:bookmarkStart w:id="0" w:name="总则"/>
    </w:p>
    <w:p>
      <w:pPr>
        <w:adjustRightInd/>
        <w:snapToGrid w:val="0"/>
        <w:spacing w:line="560" w:lineRule="exact"/>
        <w:jc w:val="center"/>
        <w:textAlignment w:val="auto"/>
        <w:rPr>
          <w:rFonts w:cs="仿宋" w:asciiTheme="minorEastAsia" w:hAnsiTheme="minorEastAsia" w:eastAsiaTheme="minorEastAsia"/>
          <w:b/>
          <w:kern w:val="2"/>
          <w:sz w:val="28"/>
          <w:szCs w:val="28"/>
        </w:rPr>
      </w:pPr>
    </w:p>
    <w:bookmarkEnd w:id="0"/>
    <w:p>
      <w:pPr>
        <w:keepLines w:val="0"/>
        <w:pageBreakBefore w:val="0"/>
        <w:kinsoku/>
        <w:wordWrap/>
        <w:overflowPunct/>
        <w:topLinePunct w:val="0"/>
        <w:bidi w:val="0"/>
        <w:adjustRightInd/>
        <w:snapToGrid w:val="0"/>
        <w:spacing w:line="560"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总 则</w:t>
      </w:r>
    </w:p>
    <w:p>
      <w:pPr>
        <w:keepNext w:val="0"/>
        <w:keepLines w:val="0"/>
        <w:pageBreakBefore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第一条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本保险合同由保险条款、投保单、保险单、保险凭证以及批单组成。凡涉及本保险合同的约定，均应采用书面形式。</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 xml:space="preserve">第二条 </w:t>
      </w:r>
      <w:r>
        <w:rPr>
          <w:rFonts w:hint="eastAsia" w:ascii="仿宋_GB2312" w:hAnsi="仿宋_GB2312" w:eastAsia="仿宋_GB2312" w:cs="仿宋_GB2312"/>
          <w:b/>
          <w:kern w:val="2"/>
          <w:sz w:val="32"/>
          <w:szCs w:val="32"/>
        </w:rPr>
        <w:t xml:space="preserve"> </w:t>
      </w:r>
      <w:r>
        <w:rPr>
          <w:rFonts w:hint="eastAsia" w:ascii="仿宋_GB2312" w:hAnsi="仿宋_GB2312" w:eastAsia="仿宋_GB2312" w:cs="仿宋_GB2312"/>
          <w:sz w:val="32"/>
          <w:szCs w:val="32"/>
        </w:rPr>
        <w:t>同时符合下列条件的养殖场（户）可作为本保险合同的被保险人：</w:t>
      </w:r>
    </w:p>
    <w:p>
      <w:pPr>
        <w:keepNext w:val="0"/>
        <w:keepLines w:val="0"/>
        <w:pageBreakBefore w:val="0"/>
        <w:kinsoku/>
        <w:wordWrap/>
        <w:overflowPunct/>
        <w:topLinePunct w:val="0"/>
        <w:bidi w:val="0"/>
        <w:spacing w:line="560" w:lineRule="exact"/>
        <w:ind w:left="63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（一）符合本地产业发展规划和布局；</w:t>
      </w:r>
    </w:p>
    <w:p>
      <w:pPr>
        <w:keepNext w:val="0"/>
        <w:keepLines w:val="0"/>
        <w:pageBreakBefore w:val="0"/>
        <w:kinsoku/>
        <w:wordWrap/>
        <w:overflowPunct/>
        <w:topLinePunct w:val="0"/>
        <w:bidi w:val="0"/>
        <w:spacing w:line="56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（二）管理制度健全、饲养圈舍卫生、能够保证饲养质量；</w:t>
      </w:r>
    </w:p>
    <w:p>
      <w:pPr>
        <w:keepNext w:val="0"/>
        <w:keepLines w:val="0"/>
        <w:pageBreakBefore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（三）饲养场所在当地洪水警戒水位线以上的非蓄洪区、非行洪区，</w:t>
      </w:r>
      <w:r>
        <w:rPr>
          <w:rFonts w:hint="eastAsia" w:ascii="仿宋_GB2312" w:hAnsi="仿宋_GB2312" w:eastAsia="仿宋_GB2312" w:cs="仿宋_GB2312"/>
          <w:sz w:val="32"/>
          <w:szCs w:val="32"/>
          <w:lang w:val="zh-CN"/>
        </w:rPr>
        <w:t>并且投保时能证明未发生动物疫病</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val="0"/>
        <w:spacing w:line="560" w:lineRule="exact"/>
        <w:jc w:val="center"/>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wordWrap/>
        <w:overflowPunct/>
        <w:topLinePunct w:val="0"/>
        <w:bidi w:val="0"/>
        <w:adjustRightInd/>
        <w:snapToGrid w:val="0"/>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保险标的</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第三条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同时符合下列条件的牦牛可以作为本保险合同的保险标的（以下称“保险牦牛”）</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 xml:space="preserve"> </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（一）牦牛品种必须在当地饲养1年以上（含）；</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（二）投保时牦牛在6月龄（含）以上、体重40公斤（含）以上；</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（三）规模养殖牦牛场（户）单独投保，其它场（户）的牦牛可以村、居民小组或合作社统一投保；</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（四）牦牛无伤残，无疾病，营养良好，饲养管理正常；</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（五）牦牛按规范的免疫程序接种疫苗并有记录，且必须按规定具有能识别身份的统一标识或采用牛脸识别等技术来确定身份唯一性。</w:t>
      </w:r>
    </w:p>
    <w:p>
      <w:pPr>
        <w:keepNext w:val="0"/>
        <w:keepLines w:val="0"/>
        <w:pageBreakBefore w:val="0"/>
        <w:kinsoku/>
        <w:wordWrap/>
        <w:overflowPunct/>
        <w:topLinePunct w:val="0"/>
        <w:bidi w:val="0"/>
        <w:adjustRightInd/>
        <w:snapToGrid w:val="0"/>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val="0"/>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保险责任</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第四条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在保险期间内，由于下列原因直接造成保险牦牛在保险合同约定的养殖地点死亡，保险人按照本保险合同的约定负责赔偿：</w:t>
      </w:r>
    </w:p>
    <w:p>
      <w:pPr>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w:t>
      </w:r>
      <w:r>
        <w:rPr>
          <w:rFonts w:hint="eastAsia" w:ascii="仿宋_GB2312" w:hAnsi="仿宋_GB2312" w:eastAsia="仿宋_GB2312" w:cs="仿宋_GB2312"/>
          <w:b w:val="0"/>
          <w:bCs/>
          <w:sz w:val="32"/>
          <w:szCs w:val="32"/>
        </w:rPr>
        <w:t>（政府行蓄洪除外）</w:t>
      </w:r>
      <w:r>
        <w:rPr>
          <w:rFonts w:hint="eastAsia" w:ascii="仿宋_GB2312" w:hAnsi="仿宋_GB2312" w:eastAsia="仿宋_GB2312" w:cs="仿宋_GB2312"/>
          <w:bCs/>
          <w:sz w:val="32"/>
          <w:szCs w:val="32"/>
        </w:rPr>
        <w:t>、风</w:t>
      </w:r>
      <w:r>
        <w:rPr>
          <w:rFonts w:hint="eastAsia" w:ascii="仿宋_GB2312" w:hAnsi="仿宋_GB2312" w:eastAsia="仿宋_GB2312" w:cs="仿宋_GB2312"/>
          <w:sz w:val="32"/>
          <w:szCs w:val="32"/>
        </w:rPr>
        <w:t>灾、雷击、地震、雹灾、冻灾等自然灾害；</w:t>
      </w:r>
    </w:p>
    <w:p>
      <w:pPr>
        <w:keepNext w:val="0"/>
        <w:keepLines w:val="0"/>
        <w:pageBreakBefore w:val="0"/>
        <w:kinsoku/>
        <w:wordWrap/>
        <w:overflowPunct/>
        <w:topLinePunct w:val="0"/>
        <w:bidi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（二）泥石流、山体滑坡、火灾、爆炸、建筑物倒塌、空中运行物体坠落、野生动物毁损等意外事故；</w:t>
      </w:r>
    </w:p>
    <w:p>
      <w:pPr>
        <w:keepNext w:val="0"/>
        <w:keepLines w:val="0"/>
        <w:pageBreakBefore w:val="0"/>
        <w:kinsoku/>
        <w:wordWrap/>
        <w:overflowPunct/>
        <w:topLinePunct w:val="0"/>
        <w:autoSpaceDE w:val="0"/>
        <w:autoSpaceDN w:val="0"/>
        <w:bidi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（三）疾病、疫病；</w:t>
      </w:r>
    </w:p>
    <w:p>
      <w:pPr>
        <w:keepNext w:val="0"/>
        <w:keepLines w:val="0"/>
        <w:pageBreakBefore w:val="0"/>
        <w:kinsoku/>
        <w:wordWrap/>
        <w:overflowPunct/>
        <w:topLinePunct w:val="0"/>
        <w:autoSpaceDE w:val="0"/>
        <w:autoSpaceDN w:val="0"/>
        <w:bidi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（四）雪灾（包括因雪灾直接导致保险牦牛的死亡及自雪灾发生后</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日内因雪灾导致饲料供给中断，而导致保险牦牛的死亡）</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b/>
          <w:kern w:val="2"/>
          <w:sz w:val="32"/>
          <w:szCs w:val="32"/>
        </w:rPr>
      </w:pPr>
      <w:r>
        <w:rPr>
          <w:rFonts w:hint="eastAsia" w:ascii="黑体" w:hAnsi="黑体" w:eastAsia="黑体" w:cs="黑体"/>
          <w:b w:val="0"/>
          <w:bCs w:val="0"/>
          <w:kern w:val="2"/>
          <w:sz w:val="32"/>
          <w:szCs w:val="32"/>
          <w:lang w:val="en-US" w:eastAsia="zh-CN" w:bidi="ar-SA"/>
        </w:rPr>
        <w:t>第五条</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在保险期间内，由于发生高传染性疫病，政府实施强制扑杀导致保险牦牛死亡，保险人也负责赔偿，</w:t>
      </w:r>
      <w:r>
        <w:rPr>
          <w:rFonts w:hint="eastAsia" w:ascii="仿宋_GB2312" w:hAnsi="仿宋_GB2312" w:eastAsia="仿宋_GB2312" w:cs="仿宋_GB2312"/>
          <w:b/>
          <w:kern w:val="2"/>
          <w:sz w:val="32"/>
          <w:szCs w:val="32"/>
        </w:rPr>
        <w:t>但赔偿金额以保险金额扣减政府扑杀专项补贴金额的差额为限。</w:t>
      </w:r>
    </w:p>
    <w:p>
      <w:pPr>
        <w:keepNext w:val="0"/>
        <w:keepLines w:val="0"/>
        <w:pageBreakBefore w:val="0"/>
        <w:kinsoku/>
        <w:wordWrap/>
        <w:overflowPunct/>
        <w:topLinePunct w:val="0"/>
        <w:bidi w:val="0"/>
        <w:adjustRightInd/>
        <w:snapToGrid w:val="0"/>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val="0"/>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责任免除</w:t>
      </w:r>
    </w:p>
    <w:p>
      <w:pPr>
        <w:keepNext w:val="0"/>
        <w:keepLines w:val="0"/>
        <w:pageBreakBefore w:val="0"/>
        <w:kinsoku/>
        <w:wordWrap/>
        <w:overflowPunct/>
        <w:topLinePunct w:val="0"/>
        <w:bidi w:val="0"/>
        <w:adjustRightInd/>
        <w:snapToGrid w:val="0"/>
        <w:spacing w:line="360" w:lineRule="auto"/>
        <w:ind w:firstLine="640" w:firstLineChars="200"/>
        <w:textAlignment w:val="auto"/>
        <w:rPr>
          <w:rFonts w:hint="eastAsia" w:ascii="仿宋_GB2312" w:hAnsi="仿宋_GB2312" w:eastAsia="仿宋_GB2312" w:cs="仿宋_GB2312"/>
          <w:b/>
          <w:bCs/>
          <w:kern w:val="2"/>
          <w:sz w:val="32"/>
          <w:szCs w:val="32"/>
        </w:rPr>
      </w:pPr>
      <w:r>
        <w:rPr>
          <w:rFonts w:hint="eastAsia" w:ascii="黑体" w:hAnsi="黑体" w:eastAsia="黑体" w:cs="黑体"/>
          <w:b w:val="0"/>
          <w:bCs w:val="0"/>
          <w:kern w:val="2"/>
          <w:sz w:val="32"/>
          <w:szCs w:val="32"/>
          <w:lang w:val="en-US" w:eastAsia="zh-CN" w:bidi="ar-SA"/>
        </w:rPr>
        <w:t xml:space="preserve">第六条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下列原因造成的损失、费用，保险人不负责赔偿：</w:t>
      </w:r>
    </w:p>
    <w:p>
      <w:pPr>
        <w:keepNext w:val="0"/>
        <w:keepLines w:val="0"/>
        <w:pageBreakBefore w:val="0"/>
        <w:kinsoku/>
        <w:wordWrap/>
        <w:overflowPunct/>
        <w:topLinePunct w:val="0"/>
        <w:bidi w:val="0"/>
        <w:snapToGrid w:val="0"/>
        <w:spacing w:line="360" w:lineRule="auto"/>
        <w:ind w:left="0"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（一）政府扑杀行为以外的行政行为或司法行为；</w:t>
      </w:r>
    </w:p>
    <w:p>
      <w:pPr>
        <w:keepNext w:val="0"/>
        <w:keepLines w:val="0"/>
        <w:pageBreakBefore w:val="0"/>
        <w:kinsoku/>
        <w:wordWrap/>
        <w:overflowPunct/>
        <w:topLinePunct w:val="0"/>
        <w:bidi w:val="0"/>
        <w:snapToGrid/>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（二）</w:t>
      </w:r>
      <w:r>
        <w:rPr>
          <w:rFonts w:hint="eastAsia" w:ascii="仿宋_GB2312" w:hAnsi="仿宋_GB2312" w:eastAsia="仿宋_GB2312" w:cs="仿宋_GB2312"/>
          <w:b/>
          <w:bCs/>
          <w:sz w:val="32"/>
          <w:szCs w:val="32"/>
        </w:rPr>
        <w:t>他人的恶意破坏行为，或投保人及其家庭成员、被保险人及其家庭成员、投保人或被保险人雇用人员的故意或重大过失行为、管理不善；</w:t>
      </w:r>
    </w:p>
    <w:p>
      <w:pPr>
        <w:keepNext w:val="0"/>
        <w:keepLines w:val="0"/>
        <w:pageBreakBefore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（三）正常的淘汰、宰杀；</w:t>
      </w:r>
    </w:p>
    <w:p>
      <w:pPr>
        <w:keepLines w:val="0"/>
        <w:pageBreakBefore w:val="0"/>
        <w:kinsoku/>
        <w:wordWrap/>
        <w:overflowPunct/>
        <w:topLinePunct w:val="0"/>
        <w:bidi w:val="0"/>
        <w:spacing w:before="0" w:after="0"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未按相关部门强制免疫程序及时接种疫苗；或发病后不及时治疗；或发生疫情后不向防疫部门报告；或发生保险责任范围内事故后不采取保护与施救措施</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致使损失扩大的部分。</w:t>
      </w:r>
    </w:p>
    <w:p>
      <w:pPr>
        <w:keepNext w:val="0"/>
        <w:keepLines w:val="0"/>
        <w:pageBreakBefore w:val="0"/>
        <w:kinsoku/>
        <w:wordWrap/>
        <w:overflowPunct/>
        <w:topLinePunct w:val="0"/>
        <w:bidi w:val="0"/>
        <w:spacing w:line="360" w:lineRule="auto"/>
        <w:ind w:left="0" w:firstLine="860" w:firstLineChars="269"/>
        <w:rPr>
          <w:rFonts w:hint="eastAsia" w:ascii="仿宋_GB2312" w:hAnsi="仿宋_GB2312" w:eastAsia="仿宋_GB2312" w:cs="仿宋_GB2312"/>
          <w:b/>
          <w:bCs/>
          <w:sz w:val="32"/>
          <w:szCs w:val="32"/>
        </w:rPr>
      </w:pPr>
      <w:r>
        <w:rPr>
          <w:rFonts w:hint="eastAsia" w:ascii="黑体" w:hAnsi="黑体" w:eastAsia="黑体" w:cs="黑体"/>
          <w:b w:val="0"/>
          <w:bCs w:val="0"/>
          <w:kern w:val="2"/>
          <w:sz w:val="32"/>
          <w:szCs w:val="32"/>
          <w:lang w:val="en-US" w:eastAsia="zh-CN" w:bidi="ar-SA"/>
        </w:rPr>
        <w:t xml:space="preserve">第七条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（一）发生保险责任范围内的损失后，投保人、被保险人自行处理保险牦牛的；</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（二）保险牦牛遭受保险事故引起的各种间接费用；</w:t>
      </w:r>
    </w:p>
    <w:p>
      <w:pPr>
        <w:keepNext w:val="0"/>
        <w:keepLines w:val="0"/>
        <w:pageBreakBefore w:val="0"/>
        <w:kinsoku/>
        <w:wordWrap/>
        <w:overflowPunct/>
        <w:topLinePunct w:val="0"/>
        <w:bidi w:val="0"/>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（三）其他不属于本保险责任范围内的损失、费用。</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kern w:val="2"/>
          <w:sz w:val="32"/>
          <w:szCs w:val="32"/>
          <w:lang w:val="en-US" w:eastAsia="zh-CN" w:bidi="ar-SA"/>
        </w:rPr>
        <w:t xml:space="preserve">第八条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保险牦牛因病死亡且不能确认无害化处理的，保险人也不负责赔偿。</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保险金额</w:t>
      </w:r>
    </w:p>
    <w:p>
      <w:pPr>
        <w:keepNext w:val="0"/>
        <w:keepLines w:val="0"/>
        <w:pageBreakBefore w:val="0"/>
        <w:kinsoku/>
        <w:wordWrap/>
        <w:overflowPunct/>
        <w:topLinePunct w:val="0"/>
        <w:bidi w:val="0"/>
        <w:adjustRightInd/>
        <w:snapToGrid/>
        <w:spacing w:line="360" w:lineRule="auto"/>
        <w:ind w:firstLine="627" w:firstLineChars="196"/>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第九条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保险牦牛的每头保险金额</w:t>
      </w:r>
      <w:r>
        <w:rPr>
          <w:rFonts w:hint="eastAsia" w:ascii="仿宋_GB2312" w:hAnsi="仿宋_GB2312" w:eastAsia="仿宋_GB2312" w:cs="仿宋_GB2312"/>
          <w:sz w:val="32"/>
          <w:szCs w:val="32"/>
        </w:rPr>
        <w:t>参照当地生产成本，由投保人与保险人协商确定，并在保险单中载明。</w:t>
      </w:r>
    </w:p>
    <w:p>
      <w:pPr>
        <w:keepNext w:val="0"/>
        <w:keepLines w:val="0"/>
        <w:pageBreakBefore w:val="0"/>
        <w:kinsoku/>
        <w:wordWrap/>
        <w:overflowPunct/>
        <w:topLinePunct w:val="0"/>
        <w:bidi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保险金额</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元）</w:t>
      </w:r>
      <w:r>
        <w:rPr>
          <w:rFonts w:hint="eastAsia" w:ascii="仿宋_GB2312" w:hAnsi="仿宋_GB2312" w:eastAsia="仿宋_GB2312" w:cs="仿宋_GB2312"/>
          <w:kern w:val="2"/>
          <w:sz w:val="32"/>
          <w:szCs w:val="32"/>
        </w:rPr>
        <w:t>=每头保险金额</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元/头）</w:t>
      </w:r>
      <w:r>
        <w:rPr>
          <w:rFonts w:hint="eastAsia" w:ascii="仿宋_GB2312" w:hAnsi="仿宋_GB2312" w:eastAsia="仿宋_GB2312" w:cs="仿宋_GB2312"/>
          <w:sz w:val="32"/>
          <w:szCs w:val="32"/>
        </w:rPr>
        <w:t>×保险数量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头）</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保险数量按照投保时牦牛实际存栏数确定，并在保险单中载明。</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保险期间与观察期</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kern w:val="2"/>
          <w:sz w:val="32"/>
          <w:szCs w:val="32"/>
          <w:lang w:val="en-US" w:eastAsia="zh-CN" w:bidi="ar-SA"/>
        </w:rPr>
        <w:t xml:space="preserve">第十条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除另有约定外，本保险合同的保险期间为一年，</w:t>
      </w:r>
      <w:r>
        <w:rPr>
          <w:rFonts w:hint="eastAsia" w:ascii="仿宋_GB2312" w:hAnsi="仿宋_GB2312" w:eastAsia="仿宋_GB2312" w:cs="仿宋_GB2312"/>
          <w:b/>
          <w:kern w:val="2"/>
          <w:sz w:val="32"/>
          <w:szCs w:val="32"/>
        </w:rPr>
        <w:t>具体保险期间以保险单载明为准。</w:t>
      </w:r>
    </w:p>
    <w:p>
      <w:pPr>
        <w:keepNext w:val="0"/>
        <w:keepLines w:val="0"/>
        <w:pageBreakBefore w:val="0"/>
        <w:kinsoku/>
        <w:wordWrap/>
        <w:overflowPunct/>
        <w:topLinePunct w:val="0"/>
        <w:bidi w:val="0"/>
        <w:spacing w:line="360" w:lineRule="auto"/>
        <w:ind w:firstLine="627" w:firstLineChars="196"/>
        <w:rPr>
          <w:rFonts w:hint="eastAsia" w:ascii="仿宋_GB2312" w:hAnsi="仿宋_GB2312" w:eastAsia="仿宋_GB2312" w:cs="仿宋_GB2312"/>
          <w:i/>
          <w:sz w:val="32"/>
          <w:szCs w:val="32"/>
        </w:rPr>
      </w:pPr>
      <w:r>
        <w:rPr>
          <w:rFonts w:hint="eastAsia" w:ascii="黑体" w:hAnsi="黑体" w:eastAsia="黑体" w:cs="黑体"/>
          <w:b w:val="0"/>
          <w:bCs w:val="0"/>
          <w:kern w:val="2"/>
          <w:sz w:val="32"/>
          <w:szCs w:val="32"/>
          <w:lang w:val="en-US" w:eastAsia="zh-CN" w:bidi="ar-SA"/>
        </w:rPr>
        <w:t xml:space="preserve">第十一条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sz w:val="32"/>
          <w:szCs w:val="32"/>
        </w:rPr>
        <w:t>自本保险期间开始之日起15日（含）为保险牦牛的疾病观察期。疾病观察期内保险牦牛发生本保险合同责任范围内的疾病、疫病，保险人不负责赔付。</w:t>
      </w:r>
      <w:r>
        <w:rPr>
          <w:rFonts w:hint="eastAsia" w:ascii="仿宋_GB2312" w:hAnsi="仿宋_GB2312" w:eastAsia="仿宋_GB2312" w:cs="仿宋_GB2312"/>
          <w:sz w:val="32"/>
          <w:szCs w:val="32"/>
        </w:rPr>
        <w:t>检疫合格的续保牦牛，可以免除观察期。</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保险人义务</w:t>
      </w:r>
    </w:p>
    <w:p>
      <w:pPr>
        <w:pStyle w:val="32"/>
        <w:keepLines w:val="0"/>
        <w:pageBreakBefore w:val="0"/>
        <w:kinsoku/>
        <w:wordWrap/>
        <w:overflowPunct/>
        <w:topLinePunct w:val="0"/>
        <w:bidi w:val="0"/>
        <w:snapToGrid/>
        <w:spacing w:line="360" w:lineRule="auto"/>
        <w:ind w:left="0" w:leftChars="0" w:firstLine="640" w:firstLineChars="200"/>
        <w:jc w:val="both"/>
        <w:textAlignment w:val="auto"/>
        <w:outlineLvl w:val="1"/>
        <w:rPr>
          <w:rFonts w:hint="eastAsia" w:ascii="仿宋_GB2312" w:hAnsi="仿宋_GB2312" w:eastAsia="仿宋_GB2312" w:cs="仿宋_GB2312"/>
          <w:b w:val="0"/>
          <w:bCs/>
          <w:color w:val="000000"/>
          <w:sz w:val="32"/>
          <w:szCs w:val="32"/>
        </w:rPr>
      </w:pPr>
      <w:r>
        <w:rPr>
          <w:rFonts w:hint="eastAsia" w:ascii="黑体" w:hAnsi="黑体" w:eastAsia="黑体" w:cs="黑体"/>
          <w:b w:val="0"/>
          <w:bCs w:val="0"/>
          <w:kern w:val="2"/>
          <w:sz w:val="32"/>
          <w:szCs w:val="32"/>
          <w:lang w:val="en-US" w:eastAsia="zh-CN" w:bidi="ar-SA"/>
        </w:rPr>
        <w:t xml:space="preserve">第十二条 </w:t>
      </w:r>
      <w:r>
        <w:rPr>
          <w:rStyle w:val="25"/>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5"/>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第十三条</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本保险合同成立后，保险人应当及时向投保人签发保险单或其他保险凭证。</w:t>
      </w:r>
    </w:p>
    <w:p>
      <w:pPr>
        <w:keepNext w:val="0"/>
        <w:keepLines w:val="0"/>
        <w:pageBreakBefore w:val="0"/>
        <w:kinsoku/>
        <w:wordWrap/>
        <w:overflowPunct/>
        <w:topLinePunct w:val="0"/>
        <w:bidi w:val="0"/>
        <w:snapToGrid/>
        <w:spacing w:line="360" w:lineRule="auto"/>
        <w:ind w:firstLine="627" w:firstLineChars="196"/>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第十四条  </w:t>
      </w:r>
      <w:r>
        <w:rPr>
          <w:rFonts w:hint="eastAsia" w:ascii="仿宋_GB2312" w:hAnsi="仿宋_GB2312" w:eastAsia="仿宋_GB2312" w:cs="仿宋_GB2312"/>
          <w:kern w:val="2"/>
          <w:sz w:val="32"/>
          <w:szCs w:val="32"/>
        </w:rPr>
        <w:t>保险人按照保险合同的约定，认为被保险人提供的有关索赔的证明和资料不完整的，应当及时一次性通知投保人或被保险人补充提供。</w:t>
      </w:r>
    </w:p>
    <w:p>
      <w:pPr>
        <w:keepNext w:val="0"/>
        <w:keepLines w:val="0"/>
        <w:pageBreakBefore w:val="0"/>
        <w:numPr>
          <w:ilvl w:val="0"/>
          <w:numId w:val="0"/>
        </w:numPr>
        <w:kinsoku/>
        <w:wordWrap/>
        <w:overflowPunct/>
        <w:topLinePunct w:val="0"/>
        <w:bidi w:val="0"/>
        <w:spacing w:line="360" w:lineRule="auto"/>
        <w:ind w:firstLine="640" w:firstLineChars="200"/>
        <w:rPr>
          <w:rFonts w:ascii="仿宋_GB2312" w:hAnsi="宋体" w:eastAsia="仿宋_GB2312" w:cs="仿宋_GB2312"/>
          <w:bCs/>
          <w:color w:val="auto"/>
          <w:sz w:val="32"/>
          <w:szCs w:val="32"/>
        </w:rPr>
      </w:pPr>
      <w:r>
        <w:rPr>
          <w:rFonts w:hint="eastAsia" w:ascii="黑体" w:hAnsi="黑体" w:eastAsia="黑体" w:cs="黑体"/>
          <w:b w:val="0"/>
          <w:bCs w:val="0"/>
          <w:kern w:val="2"/>
          <w:sz w:val="32"/>
          <w:szCs w:val="32"/>
          <w:lang w:val="en-US" w:eastAsia="zh-CN" w:bidi="ar-SA"/>
        </w:rPr>
        <w:t xml:space="preserve">第十五条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宋体" w:eastAsia="仿宋_GB2312" w:cs="仿宋_GB2312"/>
          <w:bCs/>
          <w:color w:val="auto"/>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宋体" w:eastAsia="仿宋_GB2312" w:cs="仿宋_GB2312"/>
          <w:bCs/>
          <w:color w:val="auto"/>
          <w:sz w:val="32"/>
          <w:szCs w:val="32"/>
          <w:lang w:val="en-US" w:eastAsia="zh-CN"/>
        </w:rPr>
        <w:t>三十</w:t>
      </w:r>
      <w:r>
        <w:rPr>
          <w:rFonts w:hint="eastAsia" w:ascii="仿宋_GB2312" w:hAnsi="宋体" w:eastAsia="仿宋_GB2312" w:cs="仿宋_GB2312"/>
          <w:bCs/>
          <w:color w:val="auto"/>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宋体" w:eastAsia="仿宋_GB2312" w:cs="仿宋_GB2312"/>
          <w:bCs/>
          <w:color w:val="auto"/>
          <w:sz w:val="32"/>
          <w:szCs w:val="32"/>
          <w:lang w:val="en-US" w:eastAsia="zh-CN"/>
        </w:rPr>
        <w:t>十</w:t>
      </w:r>
      <w:r>
        <w:rPr>
          <w:rFonts w:hint="eastAsia" w:ascii="仿宋_GB2312" w:hAnsi="宋体" w:eastAsia="仿宋_GB2312" w:cs="仿宋_GB2312"/>
          <w:bCs/>
          <w:color w:val="auto"/>
          <w:sz w:val="32"/>
          <w:szCs w:val="32"/>
        </w:rPr>
        <w:t>日内，履行赔偿义务。</w:t>
      </w:r>
      <w:r>
        <w:rPr>
          <w:rFonts w:hint="eastAsia" w:ascii="仿宋_GB2312" w:hAnsi="宋体" w:eastAsia="仿宋_GB2312"/>
          <w:color w:val="auto"/>
          <w:kern w:val="2"/>
          <w:sz w:val="32"/>
          <w:szCs w:val="32"/>
        </w:rPr>
        <w:t>保险合同对</w:t>
      </w:r>
      <w:r>
        <w:rPr>
          <w:rFonts w:hint="eastAsia" w:ascii="仿宋_GB2312" w:hAnsi="宋体" w:eastAsia="仿宋_GB2312"/>
          <w:color w:val="auto"/>
          <w:kern w:val="2"/>
          <w:sz w:val="32"/>
          <w:szCs w:val="32"/>
          <w:lang w:val="en-US" w:eastAsia="zh-CN"/>
        </w:rPr>
        <w:t>赔偿金额</w:t>
      </w:r>
      <w:r>
        <w:rPr>
          <w:rFonts w:hint="eastAsia" w:ascii="仿宋_GB2312" w:hAnsi="宋体" w:eastAsia="仿宋_GB2312"/>
          <w:color w:val="auto"/>
          <w:kern w:val="2"/>
          <w:sz w:val="32"/>
          <w:szCs w:val="32"/>
        </w:rPr>
        <w:t>支付的期限</w:t>
      </w:r>
      <w:r>
        <w:rPr>
          <w:rFonts w:hint="eastAsia" w:ascii="仿宋_GB2312" w:hAnsi="宋体" w:eastAsia="仿宋_GB2312"/>
          <w:color w:val="auto"/>
          <w:kern w:val="2"/>
          <w:sz w:val="32"/>
          <w:szCs w:val="32"/>
          <w:lang w:val="en-US" w:eastAsia="zh-CN"/>
        </w:rPr>
        <w:t>另</w:t>
      </w:r>
      <w:r>
        <w:rPr>
          <w:rFonts w:hint="eastAsia" w:ascii="仿宋_GB2312" w:hAnsi="宋体" w:eastAsia="仿宋_GB2312"/>
          <w:color w:val="auto"/>
          <w:kern w:val="2"/>
          <w:sz w:val="32"/>
          <w:szCs w:val="32"/>
        </w:rPr>
        <w:t>有约定的，保险</w:t>
      </w:r>
      <w:r>
        <w:rPr>
          <w:rFonts w:hint="eastAsia" w:ascii="仿宋_GB2312" w:hAnsi="宋体" w:eastAsia="仿宋_GB2312"/>
          <w:color w:val="auto"/>
          <w:kern w:val="2"/>
          <w:sz w:val="32"/>
          <w:szCs w:val="32"/>
          <w:lang w:val="en-US" w:eastAsia="zh-CN"/>
        </w:rPr>
        <w:t>人</w:t>
      </w:r>
      <w:r>
        <w:rPr>
          <w:rFonts w:hint="eastAsia" w:ascii="仿宋_GB2312" w:hAnsi="宋体" w:eastAsia="仿宋_GB2312"/>
          <w:color w:val="auto"/>
          <w:kern w:val="2"/>
          <w:sz w:val="32"/>
          <w:szCs w:val="32"/>
        </w:rPr>
        <w:t>应当按照约定履行</w:t>
      </w:r>
      <w:r>
        <w:rPr>
          <w:rFonts w:hint="eastAsia" w:ascii="仿宋_GB2312" w:hAnsi="宋体" w:eastAsia="仿宋_GB2312"/>
          <w:color w:val="auto"/>
          <w:kern w:val="2"/>
          <w:sz w:val="32"/>
          <w:szCs w:val="32"/>
          <w:lang w:val="en-US" w:eastAsia="zh-CN"/>
        </w:rPr>
        <w:t>赔偿</w:t>
      </w:r>
      <w:r>
        <w:rPr>
          <w:rFonts w:hint="eastAsia" w:ascii="仿宋_GB2312" w:hAnsi="宋体" w:eastAsia="仿宋_GB2312"/>
          <w:color w:val="auto"/>
          <w:kern w:val="2"/>
          <w:sz w:val="32"/>
          <w:szCs w:val="32"/>
        </w:rPr>
        <w:t>义务。</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宋体" w:eastAsia="仿宋_GB2312" w:cs="仿宋_GB2312"/>
          <w:bCs/>
          <w:color w:val="auto"/>
          <w:sz w:val="32"/>
          <w:szCs w:val="32"/>
        </w:rPr>
        <w:t>保险人依照前款的约定做出核定后，对不属于保险责任的，应当自作出核定之日起</w:t>
      </w:r>
      <w:r>
        <w:rPr>
          <w:rFonts w:hint="eastAsia" w:ascii="仿宋_GB2312" w:hAnsi="宋体" w:eastAsia="仿宋_GB2312" w:cs="仿宋_GB2312"/>
          <w:bCs/>
          <w:color w:val="auto"/>
          <w:sz w:val="32"/>
          <w:szCs w:val="32"/>
          <w:lang w:val="en-US" w:eastAsia="zh-CN"/>
        </w:rPr>
        <w:t>三</w:t>
      </w:r>
      <w:r>
        <w:rPr>
          <w:rFonts w:hint="eastAsia" w:ascii="仿宋_GB2312" w:hAnsi="宋体" w:eastAsia="仿宋_GB2312" w:cs="仿宋_GB2312"/>
          <w:bCs/>
          <w:color w:val="auto"/>
          <w:sz w:val="32"/>
          <w:szCs w:val="32"/>
        </w:rPr>
        <w:t>日内向被保险人发出拒绝赔偿保险金通知书，并说明理由。</w:t>
      </w:r>
    </w:p>
    <w:p>
      <w:pPr>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第十六条 </w:t>
      </w:r>
      <w:r>
        <w:rPr>
          <w:rFonts w:hint="eastAsia" w:ascii="仿宋_GB2312" w:hAnsi="仿宋_GB2312" w:eastAsia="仿宋_GB2312" w:cs="仿宋_GB2312"/>
          <w:b/>
          <w:kern w:val="2"/>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投保人、被保险人义务</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第十七条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投保人应履行如实告知义务，</w:t>
      </w:r>
      <w:r>
        <w:rPr>
          <w:rFonts w:hint="eastAsia" w:ascii="仿宋_GB2312" w:hAnsi="仿宋_GB2312" w:eastAsia="仿宋_GB2312" w:cs="仿宋_GB2312"/>
          <w:bCs/>
          <w:kern w:val="2"/>
          <w:sz w:val="32"/>
          <w:szCs w:val="32"/>
        </w:rPr>
        <w:t>如实回答</w:t>
      </w:r>
      <w:r>
        <w:rPr>
          <w:rFonts w:hint="eastAsia" w:ascii="仿宋_GB2312" w:hAnsi="仿宋_GB2312" w:eastAsia="仿宋_GB2312" w:cs="仿宋_GB2312"/>
          <w:kern w:val="2"/>
          <w:sz w:val="32"/>
          <w:szCs w:val="32"/>
        </w:rPr>
        <w:t>保险人就保险牦牛或被保险人的有关情况提出的询问，并如实填写投保单。</w:t>
      </w:r>
    </w:p>
    <w:p>
      <w:pPr>
        <w:pStyle w:val="10"/>
        <w:keepNext w:val="0"/>
        <w:keepLines w:val="0"/>
        <w:pageBreakBefore w:val="0"/>
        <w:kinsoku/>
        <w:wordWrap/>
        <w:overflowPunct/>
        <w:topLinePunct w:val="0"/>
        <w:bidi w:val="0"/>
        <w:snapToGrid/>
        <w:spacing w:line="360" w:lineRule="auto"/>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投保人故意或者因重大过失未履行前款规定的如实告知义务，足以影响保险人决定是否同意承保，保险人有权解除保险合同。</w:t>
      </w:r>
      <w:r>
        <w:rPr>
          <w:rFonts w:hint="eastAsia" w:ascii="仿宋_GB2312" w:hAnsi="仿宋_GB2312" w:eastAsia="仿宋_GB2312" w:cs="仿宋_GB2312"/>
          <w:bCs/>
          <w:color w:val="000000"/>
          <w:sz w:val="32"/>
          <w:szCs w:val="32"/>
        </w:rPr>
        <w:t>保险合同自保险人的解约通知书到达投保人或被保险人时解除。</w:t>
      </w:r>
    </w:p>
    <w:p>
      <w:pPr>
        <w:pStyle w:val="10"/>
        <w:keepNext w:val="0"/>
        <w:keepLines w:val="0"/>
        <w:pageBreakBefore w:val="0"/>
        <w:kinsoku/>
        <w:wordWrap/>
        <w:overflowPunct/>
        <w:topLinePunct w:val="0"/>
        <w:bidi w:val="0"/>
        <w:snapToGrid/>
        <w:spacing w:line="360" w:lineRule="auto"/>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投保人故意不履行如实告知义务的，保险人对于保险合同解除前发生的保险事故，不承担赔偿责任，并不退还保险费。</w:t>
      </w:r>
      <w:r>
        <w:rPr>
          <w:rFonts w:hint="eastAsia" w:ascii="仿宋_GB2312" w:hAnsi="仿宋_GB2312" w:eastAsia="仿宋_GB2312" w:cs="仿宋_GB2312"/>
          <w:b/>
          <w:bCs/>
          <w:color w:val="000000"/>
          <w:sz w:val="32"/>
          <w:szCs w:val="32"/>
        </w:rPr>
        <w:br w:type="textWrapping"/>
      </w:r>
      <w:r>
        <w:rPr>
          <w:rFonts w:hint="eastAsia" w:ascii="仿宋_GB2312" w:hAnsi="仿宋_GB2312" w:eastAsia="仿宋_GB2312" w:cs="仿宋_GB2312"/>
          <w:b/>
          <w:bCs/>
          <w:color w:val="000000"/>
          <w:sz w:val="32"/>
          <w:szCs w:val="32"/>
        </w:rPr>
        <w:t xml:space="preserve">    投保人因重大过失未履行如实告知义务，对保险事故的发生有严重影响的，保险人对于保险合同解除前发生的保险事故，不承担赔偿责任，但应当退还保险费。</w:t>
      </w:r>
    </w:p>
    <w:p>
      <w:pPr>
        <w:keepNext w:val="0"/>
        <w:keepLines w:val="0"/>
        <w:pageBreakBefore w:val="0"/>
        <w:tabs>
          <w:tab w:val="left" w:pos="1620"/>
        </w:tabs>
        <w:kinsoku/>
        <w:wordWrap/>
        <w:overflowPunct/>
        <w:topLinePunct w:val="0"/>
        <w:bidi w:val="0"/>
        <w:snapToGrid/>
        <w:spacing w:line="360" w:lineRule="auto"/>
        <w:ind w:firstLine="640" w:firstLineChars="200"/>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第十八条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除另有约定外，投保人应在保险合同成立时交清自</w:t>
      </w:r>
      <w:r>
        <w:rPr>
          <w:rFonts w:hint="eastAsia" w:ascii="仿宋_GB2312" w:hAnsi="仿宋_GB2312" w:eastAsia="仿宋_GB2312" w:cs="仿宋_GB2312"/>
          <w:kern w:val="2"/>
          <w:sz w:val="32"/>
          <w:szCs w:val="32"/>
          <w:lang w:val="en-US" w:eastAsia="zh-CN"/>
        </w:rPr>
        <w:t>付</w:t>
      </w:r>
      <w:r>
        <w:rPr>
          <w:rFonts w:hint="eastAsia" w:ascii="仿宋_GB2312" w:hAnsi="仿宋_GB2312" w:eastAsia="仿宋_GB2312" w:cs="仿宋_GB2312"/>
          <w:kern w:val="2"/>
          <w:sz w:val="32"/>
          <w:szCs w:val="32"/>
        </w:rPr>
        <w:t>部分保险费。</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第十九条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被保险人应当遵守国家及地方有关部门牦牛饲养管理的规定，做好饲养管理，建立、健全和执行防疫、治疗的各项规章制度，接受畜牧兽医部门和保险人的防疫防灾检查及合理建议，切实做好安全防疫防灾工作，维护保险牦牛的安全。</w:t>
      </w:r>
    </w:p>
    <w:p>
      <w:pPr>
        <w:pStyle w:val="12"/>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保险人可以对保险牦牛的安全状况进行检查，向投保人、被保险人提出消除不安全因素和隐患的书面建议，投保人、被保险人应该认真付诸实施。</w:t>
      </w:r>
    </w:p>
    <w:p>
      <w:pPr>
        <w:pStyle w:val="12"/>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kern w:val="2"/>
          <w:sz w:val="32"/>
          <w:szCs w:val="32"/>
          <w:lang w:val="en-US" w:eastAsia="zh-CN" w:bidi="ar-SA"/>
        </w:rPr>
        <w:t xml:space="preserve">第二十条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保险期间内，保险牦牛转让的，被保险人或者受让人应当及时通知保险人。</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第二十一条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发生保险责任范围内的事故，被保险人应该：</w:t>
      </w:r>
    </w:p>
    <w:p>
      <w:pPr>
        <w:pStyle w:val="10"/>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（一）采取必要、合理的措施，防止或减少损失</w:t>
      </w:r>
      <w:r>
        <w:rPr>
          <w:rFonts w:hint="eastAsia" w:ascii="仿宋_GB2312" w:hAnsi="仿宋_GB2312" w:eastAsia="仿宋_GB2312" w:cs="仿宋_GB2312"/>
          <w:b/>
          <w:bCs/>
          <w:sz w:val="32"/>
          <w:szCs w:val="32"/>
        </w:rPr>
        <w:t>；</w:t>
      </w:r>
    </w:p>
    <w:p>
      <w:pPr>
        <w:pStyle w:val="10"/>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（二）立即通知保险人，并说明事故发生的原因、经过和损失情况；</w:t>
      </w:r>
      <w:r>
        <w:rPr>
          <w:rFonts w:hint="eastAsia" w:ascii="仿宋_GB2312" w:hAnsi="仿宋_GB2312" w:eastAsia="仿宋_GB2312" w:cs="仿宋_GB2312"/>
          <w:b/>
          <w:bCs/>
          <w:sz w:val="32"/>
          <w:szCs w:val="32"/>
        </w:rPr>
        <w:t xml:space="preserve"> </w:t>
      </w:r>
    </w:p>
    <w:p>
      <w:pPr>
        <w:pStyle w:val="10"/>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（四）按畜牧部门相关规定做好死亡牦牛的</w:t>
      </w:r>
      <w:r>
        <w:rPr>
          <w:rFonts w:hint="eastAsia" w:ascii="仿宋_GB2312" w:hAnsi="仿宋_GB2312" w:eastAsia="仿宋_GB2312" w:cs="仿宋_GB2312"/>
          <w:color w:val="000000"/>
          <w:sz w:val="32"/>
          <w:szCs w:val="32"/>
        </w:rPr>
        <w:t>无害化处理。</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color w:val="000000"/>
          <w:kern w:val="2"/>
          <w:sz w:val="32"/>
          <w:szCs w:val="32"/>
        </w:rPr>
      </w:pPr>
      <w:r>
        <w:rPr>
          <w:rFonts w:hint="eastAsia" w:ascii="黑体" w:hAnsi="黑体" w:eastAsia="黑体" w:cs="黑体"/>
          <w:b w:val="0"/>
          <w:bCs w:val="0"/>
          <w:kern w:val="2"/>
          <w:sz w:val="32"/>
          <w:szCs w:val="32"/>
          <w:lang w:val="en-US" w:eastAsia="zh-CN" w:bidi="ar-SA"/>
        </w:rPr>
        <w:t>第二十二条</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被保险人向保险人请求赔偿时，应</w:t>
      </w:r>
      <w:r>
        <w:rPr>
          <w:rFonts w:hint="eastAsia" w:ascii="仿宋_GB2312" w:hAnsi="仿宋_GB2312" w:eastAsia="仿宋_GB2312" w:cs="仿宋_GB2312"/>
          <w:color w:val="000000"/>
          <w:kern w:val="2"/>
          <w:sz w:val="32"/>
          <w:szCs w:val="32"/>
        </w:rPr>
        <w:t>向保险人提供下列证明和资料：</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（一）保险单正本或保险凭证；</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（二）索赔申请书和损失清单；</w:t>
      </w:r>
    </w:p>
    <w:p>
      <w:pPr>
        <w:keepNext w:val="0"/>
        <w:keepLines w:val="0"/>
        <w:pageBreakBefore w:val="0"/>
        <w:kinsoku/>
        <w:wordWrap/>
        <w:overflowPunct/>
        <w:topLinePunct w:val="0"/>
        <w:bidi w:val="0"/>
        <w:spacing w:line="360"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（三）真实合法的诊断证明、死亡原因证明等证明材料</w:t>
      </w:r>
      <w:r>
        <w:rPr>
          <w:rFonts w:hint="eastAsia" w:ascii="仿宋_GB2312" w:hAnsi="仿宋_GB2312" w:eastAsia="仿宋_GB2312" w:cs="仿宋_GB2312"/>
          <w:color w:val="000000"/>
          <w:sz w:val="32"/>
          <w:szCs w:val="32"/>
        </w:rPr>
        <w:t>或证据材料；</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（四）投保人、被保险人所能提供的其他与确认保险事故的性质、原因、损失程度等有关的证明和资料。</w:t>
      </w:r>
    </w:p>
    <w:p>
      <w:pPr>
        <w:keepNext w:val="0"/>
        <w:keepLines w:val="0"/>
        <w:pageBreakBefore w:val="0"/>
        <w:kinsoku/>
        <w:wordWrap/>
        <w:overflowPunct/>
        <w:topLinePunct w:val="0"/>
        <w:bidi w:val="0"/>
        <w:adjustRightInd/>
        <w:snapToGrid/>
        <w:spacing w:line="360" w:lineRule="auto"/>
        <w:ind w:firstLine="630" w:firstLineChars="196"/>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color w:val="000000"/>
          <w:kern w:val="2"/>
          <w:sz w:val="32"/>
          <w:szCs w:val="32"/>
        </w:rPr>
        <w:t>病死</w:t>
      </w:r>
      <w:r>
        <w:rPr>
          <w:rFonts w:hint="eastAsia" w:ascii="仿宋_GB2312" w:hAnsi="仿宋_GB2312" w:eastAsia="仿宋_GB2312" w:cs="仿宋_GB2312"/>
          <w:b/>
          <w:bCs/>
          <w:sz w:val="32"/>
          <w:szCs w:val="32"/>
        </w:rPr>
        <w:t>牦牛</w:t>
      </w:r>
      <w:r>
        <w:rPr>
          <w:rFonts w:hint="eastAsia" w:ascii="仿宋_GB2312" w:hAnsi="仿宋_GB2312" w:eastAsia="仿宋_GB2312" w:cs="仿宋_GB2312"/>
          <w:b/>
          <w:color w:val="000000"/>
          <w:kern w:val="2"/>
          <w:sz w:val="32"/>
          <w:szCs w:val="32"/>
        </w:rPr>
        <w:t>无害化处理是保险理赔的前提条件，不能确认无害化处理的，保险</w:t>
      </w:r>
      <w:r>
        <w:rPr>
          <w:rFonts w:hint="eastAsia" w:ascii="仿宋_GB2312" w:hAnsi="仿宋_GB2312" w:eastAsia="仿宋_GB2312" w:cs="仿宋_GB2312"/>
          <w:b/>
          <w:color w:val="000000"/>
          <w:kern w:val="2"/>
          <w:sz w:val="32"/>
          <w:szCs w:val="32"/>
          <w:lang w:val="en-US" w:eastAsia="zh-CN"/>
        </w:rPr>
        <w:t>人</w:t>
      </w:r>
      <w:r>
        <w:rPr>
          <w:rFonts w:hint="eastAsia" w:ascii="仿宋_GB2312" w:hAnsi="仿宋_GB2312" w:eastAsia="仿宋_GB2312" w:cs="仿宋_GB2312"/>
          <w:b/>
          <w:color w:val="000000"/>
          <w:kern w:val="2"/>
          <w:sz w:val="32"/>
          <w:szCs w:val="32"/>
        </w:rPr>
        <w:t>不予赔偿。</w:t>
      </w:r>
    </w:p>
    <w:p>
      <w:pPr>
        <w:keepNext w:val="0"/>
        <w:keepLines w:val="0"/>
        <w:pageBreakBefore w:val="0"/>
        <w:kinsoku/>
        <w:wordWrap/>
        <w:overflowPunct/>
        <w:topLinePunct w:val="0"/>
        <w:bidi w:val="0"/>
        <w:adjustRightInd/>
        <w:snapToGrid/>
        <w:spacing w:line="360" w:lineRule="auto"/>
        <w:ind w:firstLine="627" w:firstLineChars="196"/>
        <w:textAlignment w:val="auto"/>
        <w:rPr>
          <w:rFonts w:hint="eastAsia" w:ascii="仿宋_GB2312" w:hAnsi="仿宋_GB2312" w:eastAsia="仿宋_GB2312" w:cs="仿宋_GB2312"/>
          <w:b/>
          <w:bCs/>
          <w:color w:val="000000"/>
          <w:kern w:val="2"/>
          <w:sz w:val="32"/>
          <w:szCs w:val="32"/>
        </w:rPr>
      </w:pPr>
      <w:r>
        <w:rPr>
          <w:rFonts w:hint="eastAsia" w:ascii="黑体" w:hAnsi="黑体" w:eastAsia="黑体" w:cs="黑体"/>
          <w:b w:val="0"/>
          <w:bCs w:val="0"/>
          <w:kern w:val="2"/>
          <w:sz w:val="32"/>
          <w:szCs w:val="32"/>
          <w:lang w:val="en-US" w:eastAsia="zh-CN" w:bidi="ar-SA"/>
        </w:rPr>
        <w:t>第二十三条</w:t>
      </w:r>
      <w:r>
        <w:rPr>
          <w:rFonts w:hint="eastAsia" w:ascii="仿宋_GB2312" w:hAnsi="仿宋_GB2312" w:eastAsia="仿宋_GB2312" w:cs="仿宋_GB2312"/>
          <w:b/>
          <w:bCs/>
          <w:color w:val="000000"/>
          <w:kern w:val="2"/>
          <w:sz w:val="32"/>
          <w:szCs w:val="32"/>
          <w:lang w:val="en-US" w:eastAsia="zh-CN"/>
        </w:rPr>
        <w:t xml:space="preserve"> </w:t>
      </w:r>
      <w:r>
        <w:rPr>
          <w:rFonts w:hint="eastAsia" w:ascii="仿宋_GB2312" w:hAnsi="仿宋_GB2312" w:eastAsia="仿宋_GB2312" w:cs="仿宋_GB2312"/>
          <w:b/>
          <w:bCs/>
          <w:color w:val="000000"/>
          <w:kern w:val="2"/>
          <w:sz w:val="32"/>
          <w:szCs w:val="32"/>
        </w:rPr>
        <w:t xml:space="preserve"> 被保险人未履行第二十</w:t>
      </w:r>
      <w:r>
        <w:rPr>
          <w:rFonts w:hint="eastAsia" w:ascii="仿宋_GB2312" w:hAnsi="仿宋_GB2312" w:eastAsia="仿宋_GB2312" w:cs="仿宋_GB2312"/>
          <w:b/>
          <w:bCs/>
          <w:color w:val="000000"/>
          <w:kern w:val="2"/>
          <w:sz w:val="32"/>
          <w:szCs w:val="32"/>
          <w:lang w:val="en-US" w:eastAsia="zh-CN"/>
        </w:rPr>
        <w:t>一</w:t>
      </w:r>
      <w:r>
        <w:rPr>
          <w:rFonts w:hint="eastAsia" w:ascii="仿宋_GB2312" w:hAnsi="仿宋_GB2312" w:eastAsia="仿宋_GB2312" w:cs="仿宋_GB2312"/>
          <w:b/>
          <w:bCs/>
          <w:color w:val="000000"/>
          <w:kern w:val="2"/>
          <w:sz w:val="32"/>
          <w:szCs w:val="32"/>
        </w:rPr>
        <w:t>条和第二十</w:t>
      </w:r>
      <w:r>
        <w:rPr>
          <w:rFonts w:hint="eastAsia" w:ascii="仿宋_GB2312" w:hAnsi="仿宋_GB2312" w:eastAsia="仿宋_GB2312" w:cs="仿宋_GB2312"/>
          <w:b/>
          <w:bCs/>
          <w:color w:val="000000"/>
          <w:kern w:val="2"/>
          <w:sz w:val="32"/>
          <w:szCs w:val="32"/>
          <w:lang w:val="en-US" w:eastAsia="zh-CN"/>
        </w:rPr>
        <w:t>二</w:t>
      </w:r>
      <w:r>
        <w:rPr>
          <w:rFonts w:hint="eastAsia" w:ascii="仿宋_GB2312" w:hAnsi="仿宋_GB2312" w:eastAsia="仿宋_GB2312" w:cs="仿宋_GB2312"/>
          <w:b/>
          <w:bCs/>
          <w:color w:val="000000"/>
          <w:kern w:val="2"/>
          <w:sz w:val="32"/>
          <w:szCs w:val="32"/>
        </w:rPr>
        <w:t>条约定的义务，导致损失扩大或保险人无法核实损失情况的，保险人对损失扩大的部分以及无法核实的损失不承担保险责任。</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赔偿处理</w:t>
      </w:r>
    </w:p>
    <w:p>
      <w:pPr>
        <w:keepNext w:val="0"/>
        <w:keepLines w:val="0"/>
        <w:pageBreakBefore w:val="0"/>
        <w:kinsoku/>
        <w:wordWrap/>
        <w:overflowPunct/>
        <w:topLinePunct w:val="0"/>
        <w:bidi w:val="0"/>
        <w:snapToGrid/>
        <w:spacing w:line="360" w:lineRule="auto"/>
        <w:ind w:firstLine="640" w:firstLineChars="200"/>
        <w:rPr>
          <w:rFonts w:hint="eastAsia" w:ascii="仿宋_GB2312" w:hAnsi="仿宋_GB2312" w:eastAsia="仿宋_GB2312" w:cs="仿宋_GB2312"/>
          <w:b/>
          <w:bCs/>
          <w:kern w:val="2"/>
          <w:sz w:val="32"/>
          <w:szCs w:val="32"/>
        </w:rPr>
      </w:pPr>
      <w:r>
        <w:rPr>
          <w:rFonts w:hint="eastAsia" w:ascii="黑体" w:hAnsi="黑体" w:eastAsia="黑体" w:cs="黑体"/>
          <w:b w:val="0"/>
          <w:bCs w:val="0"/>
          <w:kern w:val="2"/>
          <w:sz w:val="32"/>
          <w:szCs w:val="32"/>
          <w:lang w:val="en-US" w:eastAsia="zh-CN" w:bidi="ar-SA"/>
        </w:rPr>
        <w:t xml:space="preserve">第二十四条  </w:t>
      </w:r>
      <w:r>
        <w:rPr>
          <w:rFonts w:hint="eastAsia" w:ascii="仿宋_GB2312" w:hAnsi="仿宋_GB2312" w:eastAsia="仿宋_GB2312" w:cs="仿宋_GB2312"/>
          <w:b/>
          <w:bCs/>
          <w:kern w:val="2"/>
          <w:sz w:val="32"/>
          <w:szCs w:val="32"/>
        </w:rPr>
        <w:t>保险事故发生时，被保险人对保险牦牛不具有保险利益的，不得向保险人请求赔偿保险金。</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第二十五条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2"/>
          <w:sz w:val="32"/>
          <w:szCs w:val="32"/>
        </w:rPr>
        <w:t>保险牦牛发生保险责任范围内的死亡，保险人按以下方式计算赔偿：</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（一）发生第四条列明的保险事故，赔偿金额计算如下：</w:t>
      </w:r>
    </w:p>
    <w:p>
      <w:pPr>
        <w:keepNext w:val="0"/>
        <w:keepLines w:val="0"/>
        <w:pageBreakBefore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赔偿金额=每头保险金额×死亡数量</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sz w:val="32"/>
          <w:szCs w:val="32"/>
        </w:rPr>
        <w:t>发生第五条所述政府扑杀造成保险</w:t>
      </w:r>
      <w:r>
        <w:rPr>
          <w:rFonts w:hint="eastAsia" w:ascii="仿宋_GB2312" w:hAnsi="仿宋_GB2312" w:eastAsia="仿宋_GB2312" w:cs="仿宋_GB2312"/>
          <w:kern w:val="2"/>
          <w:sz w:val="32"/>
          <w:szCs w:val="32"/>
        </w:rPr>
        <w:t>牦牛</w:t>
      </w:r>
      <w:r>
        <w:rPr>
          <w:rFonts w:hint="eastAsia" w:ascii="仿宋_GB2312" w:hAnsi="仿宋_GB2312" w:eastAsia="仿宋_GB2312" w:cs="仿宋_GB2312"/>
          <w:sz w:val="32"/>
          <w:szCs w:val="32"/>
        </w:rPr>
        <w:t>的损失，</w:t>
      </w:r>
      <w:r>
        <w:rPr>
          <w:rFonts w:hint="eastAsia" w:ascii="仿宋_GB2312" w:hAnsi="仿宋_GB2312" w:eastAsia="仿宋_GB2312" w:cs="仿宋_GB2312"/>
          <w:kern w:val="2"/>
          <w:sz w:val="32"/>
          <w:szCs w:val="32"/>
        </w:rPr>
        <w:t>赔偿金额计算如下：</w:t>
      </w:r>
    </w:p>
    <w:p>
      <w:pPr>
        <w:keepNext w:val="0"/>
        <w:keepLines w:val="0"/>
        <w:pageBreakBefore w:val="0"/>
        <w:kinsoku/>
        <w:wordWrap/>
        <w:overflowPunct/>
        <w:topLinePunct w:val="0"/>
        <w:bidi w:val="0"/>
        <w:adjustRightInd/>
        <w:snapToGrid/>
        <w:spacing w:line="360" w:lineRule="auto"/>
        <w:ind w:firstLine="643" w:firstLineChars="200"/>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赔偿金额=（每头保险金额-每头政府扑杀专项补贴金额）×死亡数量</w:t>
      </w:r>
    </w:p>
    <w:p>
      <w:pPr>
        <w:keepNext w:val="0"/>
        <w:keepLines w:val="0"/>
        <w:pageBreakBefore w:val="0"/>
        <w:widowControl/>
        <w:kinsoku/>
        <w:wordWrap/>
        <w:overflowPunct/>
        <w:topLinePunct w:val="0"/>
        <w:bidi w:val="0"/>
        <w:spacing w:line="360" w:lineRule="auto"/>
        <w:ind w:firstLine="643" w:firstLineChars="200"/>
        <w:jc w:val="left"/>
        <w:rPr>
          <w:rFonts w:hint="eastAsia" w:ascii="仿宋_GB2312" w:hAnsi="仿宋_GB2312" w:eastAsia="仿宋_GB2312" w:cs="仿宋_GB2312"/>
          <w:b/>
          <w:color w:val="FF0000"/>
          <w:sz w:val="32"/>
          <w:szCs w:val="32"/>
        </w:rPr>
      </w:pPr>
      <w:r>
        <w:rPr>
          <w:rFonts w:hint="eastAsia" w:ascii="仿宋_GB2312" w:hAnsi="仿宋_GB2312" w:eastAsia="仿宋_GB2312" w:cs="仿宋_GB2312"/>
          <w:b/>
          <w:bCs/>
          <w:sz w:val="32"/>
          <w:szCs w:val="32"/>
          <w:lang w:bidi="zh-CN"/>
        </w:rPr>
        <w:t>当每头牦牛政府扑杀专项补贴金额高于每头牦牛对应比例赔偿金额时，保险人对该头保险牦牛不予赔偿。</w:t>
      </w:r>
    </w:p>
    <w:p>
      <w:pPr>
        <w:keepNext w:val="0"/>
        <w:keepLines w:val="0"/>
        <w:pageBreakBefore w:val="0"/>
        <w:kinsoku/>
        <w:wordWrap/>
        <w:overflowPunct/>
        <w:topLinePunct w:val="0"/>
        <w:bidi w:val="0"/>
        <w:adjustRightIn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kern w:val="2"/>
          <w:sz w:val="32"/>
          <w:szCs w:val="32"/>
          <w:lang w:val="en-US" w:eastAsia="zh-CN" w:bidi="ar-SA"/>
        </w:rPr>
        <w:t xml:space="preserve">第二十六条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保险单项下保险牦牛有效保险数量小于本次出险时实际存栏数、且无法区分保险牦牛与非保险牦牛的，保险人基于本次出险时实际死亡的牦牛数量，按本次出险时保险单项下的有效保险数量与本次出险时实际存栏数的比例来确定计算赔偿的死亡数量；若保险单项下保险牦牛有效保险数量大于等于本次出险时实际存栏数时，保险人按本次出险时实际死亡的牦牛数量来确定计算赔偿的死亡数量。</w:t>
      </w:r>
    </w:p>
    <w:p>
      <w:pPr>
        <w:keepNext w:val="0"/>
        <w:keepLines w:val="0"/>
        <w:pageBreakBefore w:val="0"/>
        <w:kinsoku/>
        <w:wordWrap/>
        <w:overflowPunct/>
        <w:topLinePunct w:val="0"/>
        <w:bidi w:val="0"/>
        <w:adjustRightIn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实际存栏数</w:t>
      </w:r>
      <w:r>
        <w:rPr>
          <w:rFonts w:hint="eastAsia" w:ascii="仿宋_GB2312" w:hAnsi="仿宋_GB2312" w:eastAsia="仿宋_GB2312" w:cs="仿宋_GB2312"/>
          <w:sz w:val="32"/>
          <w:szCs w:val="32"/>
        </w:rPr>
        <w:t>指符合本保险条款第三条约定的保险牦牛实际存栏数量。</w:t>
      </w:r>
    </w:p>
    <w:p>
      <w:pPr>
        <w:keepNext w:val="0"/>
        <w:keepLines w:val="0"/>
        <w:pageBreakBefore w:val="0"/>
        <w:kinsoku/>
        <w:wordWrap/>
        <w:overflowPunct/>
        <w:topLinePunct w:val="0"/>
        <w:bidi w:val="0"/>
        <w:adjustRightInd/>
        <w:spacing w:line="360" w:lineRule="auto"/>
        <w:ind w:firstLine="640" w:firstLineChars="200"/>
        <w:textAlignment w:val="auto"/>
        <w:rPr>
          <w:rFonts w:hint="eastAsia" w:ascii="仿宋_GB2312" w:hAnsi="仿宋_GB2312" w:eastAsia="仿宋_GB2312" w:cs="仿宋_GB2312"/>
          <w:b/>
          <w:kern w:val="2"/>
          <w:sz w:val="32"/>
          <w:szCs w:val="32"/>
          <w:u w:val="single"/>
        </w:rPr>
      </w:pPr>
      <w:r>
        <w:rPr>
          <w:rFonts w:hint="eastAsia" w:ascii="黑体" w:hAnsi="黑体" w:eastAsia="黑体" w:cs="黑体"/>
          <w:b w:val="0"/>
          <w:bCs w:val="0"/>
          <w:kern w:val="2"/>
          <w:sz w:val="32"/>
          <w:szCs w:val="32"/>
          <w:lang w:val="en-US" w:eastAsia="zh-CN" w:bidi="ar-SA"/>
        </w:rPr>
        <w:t xml:space="preserve">第二十七条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发生保险事故时，</w:t>
      </w:r>
      <w:r>
        <w:rPr>
          <w:rFonts w:hint="eastAsia" w:ascii="仿宋_GB2312" w:hAnsi="仿宋_GB2312" w:eastAsia="仿宋_GB2312" w:cs="仿宋_GB2312"/>
          <w:b/>
          <w:kern w:val="2"/>
          <w:sz w:val="32"/>
          <w:szCs w:val="32"/>
        </w:rPr>
        <w:t>若保险牦牛每头保险金额低于或等于出险时的实际价值，则以每头保险金额为赔偿计算标准；若保险牦牛每头保险金额高于出险时的实际价值，则以出险时的实际价值为赔偿计算标准。</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b/>
          <w:kern w:val="2"/>
          <w:sz w:val="32"/>
          <w:szCs w:val="32"/>
        </w:rPr>
      </w:pPr>
      <w:r>
        <w:rPr>
          <w:rFonts w:hint="eastAsia" w:ascii="黑体" w:hAnsi="黑体" w:eastAsia="黑体" w:cs="黑体"/>
          <w:b w:val="0"/>
          <w:bCs w:val="0"/>
          <w:kern w:val="2"/>
          <w:sz w:val="32"/>
          <w:szCs w:val="32"/>
          <w:lang w:val="en-US" w:eastAsia="zh-CN" w:bidi="ar-SA"/>
        </w:rPr>
        <w:t xml:space="preserve">第二十八条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kern w:val="2"/>
          <w:sz w:val="32"/>
          <w:szCs w:val="32"/>
        </w:rPr>
        <w:t>保险事故发生时，</w:t>
      </w:r>
      <w:r>
        <w:rPr>
          <w:rFonts w:hint="eastAsia" w:ascii="仿宋_GB2312" w:hAnsi="仿宋_GB2312" w:eastAsia="仿宋_GB2312" w:cs="仿宋_GB2312"/>
          <w:b/>
          <w:kern w:val="2"/>
          <w:sz w:val="32"/>
          <w:szCs w:val="32"/>
        </w:rPr>
        <w:t>如果存在重复保险，保险人按照本保险合同的相应保险金额与所有有关保险合同的相应保险金额总和的比例承担赔偿责任。</w:t>
      </w:r>
    </w:p>
    <w:p>
      <w:pPr>
        <w:keepNext w:val="0"/>
        <w:keepLines w:val="0"/>
        <w:pageBreakBefore w:val="0"/>
        <w:kinsoku/>
        <w:wordWrap/>
        <w:overflowPunct/>
        <w:topLinePunct w:val="0"/>
        <w:bidi w:val="0"/>
        <w:snapToGrid/>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rPr>
        <w:t>其他保险人应承担的赔偿金额，本保险人不负责垫付。</w:t>
      </w:r>
      <w:r>
        <w:rPr>
          <w:rFonts w:hint="eastAsia" w:ascii="仿宋_GB2312" w:hAnsi="仿宋_GB2312" w:eastAsia="仿宋_GB2312" w:cs="仿宋_GB2312"/>
          <w:b/>
          <w:sz w:val="32"/>
          <w:szCs w:val="32"/>
        </w:rPr>
        <w:t>若被保险人未如实告知导致保险人多支付赔偿金的，保险人有权向被保险人追回多支付的部分。</w:t>
      </w:r>
    </w:p>
    <w:p>
      <w:pPr>
        <w:keepNext w:val="0"/>
        <w:keepLines w:val="0"/>
        <w:pageBreakBefore w:val="0"/>
        <w:kinsoku/>
        <w:wordWrap/>
        <w:overflowPunct/>
        <w:topLinePunct w:val="0"/>
        <w:autoSpaceDE w:val="0"/>
        <w:autoSpaceDN w:val="0"/>
        <w:bidi w:val="0"/>
        <w:snapToGrid/>
        <w:spacing w:line="360" w:lineRule="auto"/>
        <w:ind w:firstLine="627" w:firstLineChars="196"/>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第二十九条</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保险牦牛发生部分损失，</w:t>
      </w:r>
      <w:r>
        <w:rPr>
          <w:rFonts w:hint="eastAsia" w:ascii="仿宋_GB2312" w:hAnsi="仿宋_GB2312" w:eastAsia="仿宋_GB2312" w:cs="仿宋_GB2312"/>
          <w:b/>
          <w:kern w:val="2"/>
          <w:sz w:val="32"/>
          <w:szCs w:val="32"/>
        </w:rPr>
        <w:t>保险人履行赔偿义务后，本保险合同的保险金额、保险数量自损失发生之日起相应减少，保险人不退还保险金额减少部分的保险费。</w:t>
      </w:r>
    </w:p>
    <w:p>
      <w:pPr>
        <w:keepNext w:val="0"/>
        <w:keepLines w:val="0"/>
        <w:pageBreakBefore w:val="0"/>
        <w:tabs>
          <w:tab w:val="left" w:pos="900"/>
        </w:tabs>
        <w:kinsoku/>
        <w:wordWrap/>
        <w:overflowPunct/>
        <w:topLinePunct w:val="0"/>
        <w:autoSpaceDE w:val="0"/>
        <w:autoSpaceDN w:val="0"/>
        <w:bidi w:val="0"/>
        <w:snapToGrid/>
        <w:spacing w:line="360" w:lineRule="auto"/>
        <w:ind w:firstLine="627" w:firstLineChars="196"/>
        <w:rPr>
          <w:rFonts w:hint="eastAsia" w:ascii="仿宋_GB2312" w:hAnsi="仿宋_GB2312" w:eastAsia="仿宋_GB2312" w:cs="仿宋_GB2312"/>
          <w:b/>
          <w:bCs/>
          <w:kern w:val="2"/>
          <w:sz w:val="32"/>
          <w:szCs w:val="32"/>
        </w:rPr>
      </w:pPr>
      <w:r>
        <w:rPr>
          <w:rFonts w:hint="eastAsia" w:ascii="黑体" w:hAnsi="黑体" w:eastAsia="黑体" w:cs="黑体"/>
          <w:b w:val="0"/>
          <w:bCs w:val="0"/>
          <w:kern w:val="2"/>
          <w:sz w:val="32"/>
          <w:szCs w:val="32"/>
          <w:lang w:val="en-US" w:eastAsia="zh-CN" w:bidi="ar-SA"/>
        </w:rPr>
        <w:t xml:space="preserve">第三十条  </w:t>
      </w:r>
      <w:r>
        <w:rPr>
          <w:rFonts w:hint="eastAsia" w:ascii="仿宋_GB2312" w:hAnsi="仿宋_GB2312" w:eastAsia="仿宋_GB2312" w:cs="仿宋_GB2312"/>
          <w:b/>
          <w:bCs/>
          <w:kern w:val="2"/>
          <w:sz w:val="32"/>
          <w:szCs w:val="32"/>
        </w:rPr>
        <w:t>未发生保险事故，被保险人谎称发生了保险事故，向保险人提出赔偿请求的，保险人有权解除保险合同，并不退还保险费。</w:t>
      </w:r>
    </w:p>
    <w:p>
      <w:pPr>
        <w:keepNext w:val="0"/>
        <w:keepLines w:val="0"/>
        <w:pageBreakBefore w:val="0"/>
        <w:kinsoku/>
        <w:wordWrap/>
        <w:overflowPunct/>
        <w:topLinePunct w:val="0"/>
        <w:autoSpaceDE w:val="0"/>
        <w:autoSpaceDN w:val="0"/>
        <w:bidi w:val="0"/>
        <w:snapToGrid/>
        <w:spacing w:line="360" w:lineRule="auto"/>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投保人、被保险人故意制造保险事故的，保险人有权解除保险合同，不承担赔偿责任，不退还保险费。</w:t>
      </w:r>
    </w:p>
    <w:p>
      <w:pPr>
        <w:keepNext w:val="0"/>
        <w:keepLines w:val="0"/>
        <w:pageBreakBefore w:val="0"/>
        <w:kinsoku/>
        <w:wordWrap/>
        <w:overflowPunct/>
        <w:topLinePunct w:val="0"/>
        <w:autoSpaceDE w:val="0"/>
        <w:autoSpaceDN w:val="0"/>
        <w:bidi w:val="0"/>
        <w:snapToGrid/>
        <w:spacing w:line="360" w:lineRule="auto"/>
        <w:ind w:firstLine="643" w:firstLineChars="200"/>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b/>
          <w:color w:val="000000"/>
          <w:sz w:val="32"/>
          <w:szCs w:val="32"/>
        </w:rPr>
      </w:pPr>
      <w:r>
        <w:rPr>
          <w:rFonts w:hint="eastAsia" w:ascii="黑体" w:hAnsi="黑体" w:eastAsia="黑体" w:cs="黑体"/>
          <w:b w:val="0"/>
          <w:bCs w:val="0"/>
          <w:kern w:val="2"/>
          <w:sz w:val="32"/>
          <w:szCs w:val="32"/>
          <w:lang w:val="en-US" w:eastAsia="zh-CN" w:bidi="ar-SA"/>
        </w:rPr>
        <w:t>第三十一条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color w:val="000000"/>
          <w:sz w:val="32"/>
          <w:szCs w:val="32"/>
        </w:rPr>
        <w:t>发生保险责任范围内的损失，应由有关责任方负责赔偿的，被保险人应行使或者保留向该责任方请求赔偿的权利。</w:t>
      </w:r>
      <w:r>
        <w:rPr>
          <w:rFonts w:hint="eastAsia" w:ascii="仿宋_GB2312" w:hAnsi="仿宋_GB2312" w:eastAsia="仿宋_GB2312" w:cs="仿宋_GB2312"/>
          <w:b/>
          <w:color w:val="000000"/>
          <w:sz w:val="32"/>
          <w:szCs w:val="32"/>
        </w:rPr>
        <w:t>保险事故发生后，保险人未履行赔偿义务之前，被保险人放弃对有关责任方请求赔偿的权利的，保险人不承担赔偿责任。</w:t>
      </w:r>
    </w:p>
    <w:p>
      <w:pPr>
        <w:keepNext w:val="0"/>
        <w:keepLines w:val="0"/>
        <w:pageBreakBefore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保险人向被保险人赔偿保险金后，被保险人未经保险人同意放弃对第三者请求赔偿的权利的，该行为无效。</w:t>
      </w:r>
    </w:p>
    <w:p>
      <w:pPr>
        <w:keepNext w:val="0"/>
        <w:keepLines w:val="0"/>
        <w:pageBreakBefore w:val="0"/>
        <w:tabs>
          <w:tab w:val="left" w:pos="2160"/>
        </w:tabs>
        <w:kinsoku/>
        <w:wordWrap/>
        <w:overflowPunct/>
        <w:topLinePunct w:val="0"/>
        <w:bidi w:val="0"/>
        <w:snapToGrid/>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在保险人向有关责任方行使代位请求赔偿权利时，被保险人应当向保险人提供必要的文件和所知</w:t>
      </w:r>
      <w:r>
        <w:rPr>
          <w:rFonts w:hint="eastAsia" w:ascii="仿宋_GB2312" w:hAnsi="仿宋_GB2312" w:eastAsia="仿宋_GB2312" w:cs="仿宋_GB2312"/>
          <w:color w:val="000000"/>
          <w:sz w:val="32"/>
          <w:szCs w:val="32"/>
          <w:lang w:val="en-US" w:eastAsia="zh-CN"/>
        </w:rPr>
        <w:t>悉</w:t>
      </w:r>
      <w:r>
        <w:rPr>
          <w:rFonts w:hint="eastAsia" w:ascii="仿宋_GB2312" w:hAnsi="仿宋_GB2312" w:eastAsia="仿宋_GB2312" w:cs="仿宋_GB2312"/>
          <w:color w:val="000000"/>
          <w:sz w:val="32"/>
          <w:szCs w:val="32"/>
        </w:rPr>
        <w:t>的有关情况。</w:t>
      </w:r>
    </w:p>
    <w:p>
      <w:pPr>
        <w:keepNext w:val="0"/>
        <w:keepLines w:val="0"/>
        <w:pageBreakBefore w:val="0"/>
        <w:tabs>
          <w:tab w:val="left" w:pos="2160"/>
        </w:tabs>
        <w:kinsoku/>
        <w:wordWrap/>
        <w:overflowPunct/>
        <w:topLinePunct w:val="0"/>
        <w:bidi w:val="0"/>
        <w:snapToGrid/>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由于被保险人的故意或者重大过失致使保险人不能行使代位请求赔偿的权利的，保险人可以扣减或者要求返还相应的赔偿金额。</w:t>
      </w:r>
    </w:p>
    <w:p>
      <w:pPr>
        <w:keepNext w:val="0"/>
        <w:keepLines w:val="0"/>
        <w:pageBreakBefore w:val="0"/>
        <w:kinsoku/>
        <w:wordWrap/>
        <w:overflowPunct/>
        <w:topLinePunct w:val="0"/>
        <w:bidi w:val="0"/>
        <w:snapToGrid/>
        <w:spacing w:line="360" w:lineRule="auto"/>
        <w:ind w:firstLine="627" w:firstLineChars="196"/>
        <w:rPr>
          <w:rFonts w:hint="eastAsia" w:ascii="仿宋_GB2312" w:hAnsi="仿宋_GB2312" w:eastAsia="仿宋_GB2312" w:cs="仿宋_GB2312"/>
          <w:color w:val="000000"/>
          <w:sz w:val="32"/>
          <w:szCs w:val="32"/>
        </w:rPr>
      </w:pPr>
      <w:r>
        <w:rPr>
          <w:rFonts w:hint="eastAsia" w:ascii="黑体" w:hAnsi="黑体" w:eastAsia="黑体" w:cs="黑体"/>
          <w:b w:val="0"/>
          <w:bCs w:val="0"/>
          <w:kern w:val="2"/>
          <w:sz w:val="32"/>
          <w:szCs w:val="32"/>
          <w:lang w:val="en-US" w:eastAsia="zh-CN" w:bidi="ar-SA"/>
        </w:rPr>
        <w:t xml:space="preserve">第三十二条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争议处理与法律适用</w:t>
      </w:r>
    </w:p>
    <w:p>
      <w:pPr>
        <w:keepNext w:val="0"/>
        <w:keepLines w:val="0"/>
        <w:pageBreakBefore w:val="0"/>
        <w:kinsoku/>
        <w:wordWrap/>
        <w:overflowPunct/>
        <w:topLinePunct w:val="0"/>
        <w:bidi w:val="0"/>
        <w:spacing w:line="360" w:lineRule="auto"/>
        <w:ind w:firstLine="627" w:firstLineChars="196"/>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 xml:space="preserve">第三十三条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Cs/>
          <w:kern w:val="2"/>
          <w:sz w:val="32"/>
          <w:szCs w:val="32"/>
        </w:rPr>
        <w:t>因履行本保险合同发生的争议，由当事人协商解决。协商不成的，提交保险合同载明的仲裁机构仲裁；保险合同未载明仲裁机构或者争议发生后未达成仲裁协议的，依法向人民法院起诉。</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第三十四条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与</w:t>
      </w:r>
      <w:r>
        <w:rPr>
          <w:rFonts w:hint="eastAsia" w:ascii="仿宋_GB2312" w:hAnsi="仿宋_GB2312" w:eastAsia="仿宋_GB2312" w:cs="仿宋_GB2312"/>
          <w:sz w:val="32"/>
          <w:szCs w:val="32"/>
        </w:rPr>
        <w:t>本保险合同有关的以及履行本保险合同产生的一切争议，适用中华人民共和国法律（</w:t>
      </w:r>
      <w:r>
        <w:rPr>
          <w:rFonts w:hint="eastAsia" w:ascii="仿宋_GB2312" w:hAnsi="仿宋_GB2312" w:eastAsia="仿宋_GB2312" w:cs="仿宋_GB2312"/>
          <w:b/>
          <w:sz w:val="32"/>
          <w:szCs w:val="32"/>
        </w:rPr>
        <w:t>不包括港澳台地区法律</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其他事项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第三十五条 </w:t>
      </w: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kern w:val="2"/>
          <w:sz w:val="32"/>
          <w:szCs w:val="32"/>
        </w:rPr>
        <w:t>保险牦牛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bCs/>
          <w:color w:val="000000"/>
          <w:sz w:val="32"/>
          <w:szCs w:val="32"/>
          <w:lang w:val="en-US" w:eastAsia="zh-CN"/>
        </w:rPr>
        <w:t xml:space="preserve">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pStyle w:val="2"/>
        <w:keepLines w:val="0"/>
        <w:pageBreakBefore w:val="0"/>
        <w:widowControl w:val="0"/>
        <w:kinsoku/>
        <w:wordWrap/>
        <w:overflowPunct/>
        <w:topLinePunct w:val="0"/>
        <w:autoSpaceDE/>
        <w:autoSpaceDN/>
        <w:bidi w:val="0"/>
        <w:adjustRightInd/>
        <w:spacing w:line="360" w:lineRule="auto"/>
        <w:ind w:firstLine="643" w:firstLineChars="200"/>
        <w:jc w:val="both"/>
        <w:textAlignment w:val="auto"/>
        <w:rPr>
          <w:rFonts w:hint="eastAsia"/>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，投保人、保险人均不得因保险牦牛的危险程度发生变化增加保险费或者解除本保险合同。</w:t>
      </w:r>
    </w:p>
    <w:p>
      <w:pPr>
        <w:keepNext w:val="0"/>
        <w:keepLines w:val="0"/>
        <w:pageBreakBefore w:val="0"/>
        <w:kinsoku/>
        <w:wordWrap/>
        <w:overflowPunct/>
        <w:topLinePunct w:val="0"/>
        <w:bidi w:val="0"/>
        <w:adjustRightInd/>
        <w:snapToGrid/>
        <w:spacing w:line="360" w:lineRule="auto"/>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b w:val="0"/>
          <w:bCs w:val="0"/>
          <w:kern w:val="2"/>
          <w:sz w:val="32"/>
          <w:szCs w:val="32"/>
          <w:lang w:val="en-US" w:eastAsia="zh-CN" w:bidi="ar-SA"/>
        </w:rPr>
        <w:t xml:space="preserve">第三十七条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kinsoku/>
        <w:wordWrap/>
        <w:overflowPunct/>
        <w:topLinePunct w:val="0"/>
        <w:bidi w:val="0"/>
        <w:adjustRightInd/>
        <w:snapToGrid/>
        <w:spacing w:line="360" w:lineRule="auto"/>
        <w:jc w:val="center"/>
        <w:textAlignment w:val="auto"/>
        <w:rPr>
          <w:rFonts w:hint="eastAsia" w:ascii="仿宋_GB2312" w:hAnsi="仿宋_GB2312" w:eastAsia="仿宋_GB2312" w:cs="仿宋_GB2312"/>
          <w:b/>
          <w:bCs/>
          <w:kern w:val="2"/>
          <w:sz w:val="32"/>
          <w:szCs w:val="32"/>
        </w:rPr>
      </w:pPr>
    </w:p>
    <w:p>
      <w:pPr>
        <w:keepNext w:val="0"/>
        <w:keepLines w:val="0"/>
        <w:pageBreakBefore w:val="0"/>
        <w:kinsoku/>
        <w:wordWrap/>
        <w:overflowPunct/>
        <w:topLinePunct w:val="0"/>
        <w:bidi w:val="0"/>
        <w:adjustRightInd/>
        <w:snapToGrid/>
        <w:spacing w:line="360" w:lineRule="auto"/>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释 义</w:t>
      </w:r>
    </w:p>
    <w:p>
      <w:pPr>
        <w:pStyle w:val="9"/>
        <w:keepNext w:val="0"/>
        <w:keepLines w:val="0"/>
        <w:pageBreakBefore w:val="0"/>
        <w:kinsoku/>
        <w:wordWrap/>
        <w:overflowPunct/>
        <w:topLinePunct w:val="0"/>
        <w:bidi w:val="0"/>
        <w:snapToGrid/>
        <w:spacing w:line="360" w:lineRule="auto"/>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kern w:val="2"/>
          <w:sz w:val="32"/>
          <w:szCs w:val="32"/>
          <w:lang w:val="en-US" w:eastAsia="zh-CN" w:bidi="ar-SA"/>
        </w:rPr>
        <w:t>第三十八条</w:t>
      </w:r>
      <w:r>
        <w:rPr>
          <w:rFonts w:hint="eastAsia" w:ascii="仿宋_GB2312" w:hAnsi="仿宋_GB2312" w:eastAsia="仿宋_GB2312" w:cs="仿宋_GB2312"/>
          <w:sz w:val="32"/>
          <w:szCs w:val="32"/>
        </w:rPr>
        <w:t xml:space="preserve"> </w:t>
      </w:r>
      <w:r>
        <w:rPr>
          <w:rFonts w:hint="eastAsia" w:hAnsi="仿宋_GB2312" w:cs="仿宋_GB2312"/>
          <w:sz w:val="32"/>
          <w:szCs w:val="32"/>
          <w:lang w:val="en-US" w:eastAsia="zh-CN"/>
        </w:rPr>
        <w:t xml:space="preserve"> </w:t>
      </w:r>
      <w:r>
        <w:rPr>
          <w:rFonts w:hint="eastAsia" w:ascii="仿宋_GB2312" w:hAnsi="仿宋_GB2312" w:eastAsia="仿宋_GB2312" w:cs="仿宋_GB2312"/>
          <w:b w:val="0"/>
          <w:bCs w:val="0"/>
          <w:sz w:val="32"/>
          <w:szCs w:val="32"/>
        </w:rPr>
        <w:t>本保险合同涉及下列术语时，适用下列释义：</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（一）暴雨：指每小时降雨量达16毫米以上，或连续12小时降雨量达30毫米以上，或连续24小时降雨量达50毫米以上的降雨。</w:t>
      </w:r>
    </w:p>
    <w:p>
      <w:pPr>
        <w:keepNext w:val="0"/>
        <w:keepLines w:val="0"/>
        <w:pageBreakBefore w:val="0"/>
        <w:kinsoku/>
        <w:wordWrap/>
        <w:overflowPunct/>
        <w:topLinePunct w:val="0"/>
        <w:bidi w:val="0"/>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（二）洪水：指山洪暴发、江河泛滥、潮水上岸及倒灌或暴雨积水。</w:t>
      </w:r>
      <w:r>
        <w:rPr>
          <w:rFonts w:hint="eastAsia" w:ascii="仿宋_GB2312" w:hAnsi="仿宋_GB2312" w:eastAsia="仿宋_GB2312" w:cs="仿宋_GB2312"/>
          <w:b/>
          <w:sz w:val="32"/>
          <w:szCs w:val="32"/>
        </w:rPr>
        <w:t>规律性涨潮、海水倒灌、自动灭火设施漏水以及常年水位线以下或地下渗水、水管爆裂、政府行蓄洪不属于洪水责任。</w:t>
      </w:r>
    </w:p>
    <w:p>
      <w:pPr>
        <w:keepNext w:val="0"/>
        <w:keepLines w:val="0"/>
        <w:pageBreakBefore w:val="0"/>
        <w:kinsoku/>
        <w:wordWrap/>
        <w:overflowPunct/>
        <w:topLinePunct w:val="0"/>
        <w:bidi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（三）风灾：指8级（含）以上，即风速在17.2米/秒以上的自然风。</w:t>
      </w:r>
    </w:p>
    <w:p>
      <w:pPr>
        <w:keepNext w:val="0"/>
        <w:keepLines w:val="0"/>
        <w:pageBreakBefore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（四）雷击：指积雨云中、云间或云地之间产生的放电现象，其破坏形式分为直接雷击和感应雷击两种。</w:t>
      </w:r>
    </w:p>
    <w:p>
      <w:pPr>
        <w:keepNext w:val="0"/>
        <w:keepLines w:val="0"/>
        <w:pageBreakBefore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（五）地震：是地壳快速释放能量过程中造成振动，期间会产生地震波的一种自然现象。</w:t>
      </w:r>
    </w:p>
    <w:p>
      <w:pPr>
        <w:keepNext w:val="0"/>
        <w:keepLines w:val="0"/>
        <w:pageBreakBefore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（六）雹灾：指在对流性天气控制下，积雨云中凝结生成的冰块从空中降落，造成牦牛损失的灾害。</w:t>
      </w:r>
    </w:p>
    <w:p>
      <w:pPr>
        <w:keepNext w:val="0"/>
        <w:keepLines w:val="0"/>
        <w:pageBreakBefore w:val="0"/>
        <w:kinsoku/>
        <w:wordWrap/>
        <w:overflowPunct/>
        <w:topLinePunct w:val="0"/>
        <w:bidi w:val="0"/>
        <w:spacing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（七）冻灾：指因遇到０℃以下或长期持续在０℃以下的温度，引起动物丧失一切生理活力，造成死亡的现象。</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（八）泥石流：指由于雨水、冰雪融化等水源激发的、含有大量泥沙石块的特殊洪流。</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（九）山体滑坡：指山体上不稳的岩土体在重力作用下突然整体向下滑动的现象。</w:t>
      </w:r>
    </w:p>
    <w:p>
      <w:pPr>
        <w:keepNext w:val="0"/>
        <w:keepLines w:val="0"/>
        <w:pageBreakBefore w:val="0"/>
        <w:kinsoku/>
        <w:wordWrap/>
        <w:overflowPunct/>
        <w:topLinePunct w:val="0"/>
        <w:bidi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（十）火灾：指在时间或空间上失去控制的燃烧所造成的灾害。它必须同时具备以下三个条件：1.有燃烧现象，即有热有光有火焰；2.偶然、意外发生的燃烧；3.燃烧失去控制并有蔓延扩大的趋势。</w:t>
      </w:r>
    </w:p>
    <w:p>
      <w:pPr>
        <w:keepNext w:val="0"/>
        <w:keepLines w:val="0"/>
        <w:pageBreakBefore w:val="0"/>
        <w:kinsoku/>
        <w:wordWrap/>
        <w:overflowPunct/>
        <w:topLinePunct w:val="0"/>
        <w:bidi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kinsoku/>
        <w:wordWrap/>
        <w:overflowPunct/>
        <w:topLinePunct w:val="0"/>
        <w:bidi w:val="0"/>
        <w:spacing w:line="360" w:lineRule="auto"/>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建筑物倒塌、空中运行物体坠落：指空中飞行器、人造卫星、陨石坠落，吊车、行车在运行时发生的物体坠落，人工开凿或爆炸而致石方、石块、土方飞射、塌下，建筑物倒塌、倒落、倾倒，以及其他空中运行物体坠落。</w:t>
      </w:r>
    </w:p>
    <w:p>
      <w:pPr>
        <w:keepNext w:val="0"/>
        <w:keepLines w:val="0"/>
        <w:pageBreakBefore w:val="0"/>
        <w:kinsoku/>
        <w:wordWrap/>
        <w:overflowPunct/>
        <w:topLinePunct w:val="0"/>
        <w:bidi w:val="0"/>
        <w:spacing w:line="360" w:lineRule="auto"/>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（十三）野生动物毁损：由于野生动物破坏，造成保险牦牛死亡的灾害。</w:t>
      </w:r>
    </w:p>
    <w:p>
      <w:pPr>
        <w:keepNext w:val="0"/>
        <w:keepLines w:val="0"/>
        <w:pageBreakBefore w:val="0"/>
        <w:kinsoku/>
        <w:wordWrap/>
        <w:overflowPunct/>
        <w:topLinePunct w:val="0"/>
        <w:bidi w:val="0"/>
        <w:spacing w:line="360" w:lineRule="auto"/>
        <w:ind w:firstLine="66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（十四）</w:t>
      </w:r>
      <w:r>
        <w:rPr>
          <w:rFonts w:hint="eastAsia" w:ascii="仿宋_GB2312" w:hAnsi="仿宋_GB2312" w:eastAsia="仿宋_GB2312" w:cs="仿宋_GB2312"/>
          <w:sz w:val="32"/>
          <w:szCs w:val="32"/>
        </w:rPr>
        <w:t>雪灾：指长时间大量降雪造成大范围积雪成灾直接导致保险</w:t>
      </w:r>
      <w:r>
        <w:rPr>
          <w:rFonts w:hint="eastAsia" w:ascii="仿宋_GB2312" w:hAnsi="仿宋_GB2312" w:eastAsia="仿宋_GB2312" w:cs="仿宋_GB2312"/>
          <w:kern w:val="2"/>
          <w:sz w:val="32"/>
          <w:szCs w:val="32"/>
        </w:rPr>
        <w:t>标的</w:t>
      </w:r>
      <w:r>
        <w:rPr>
          <w:rFonts w:hint="eastAsia" w:ascii="仿宋_GB2312" w:hAnsi="仿宋_GB2312" w:eastAsia="仿宋_GB2312" w:cs="仿宋_GB2312"/>
          <w:sz w:val="32"/>
          <w:szCs w:val="32"/>
        </w:rPr>
        <w:t>的死亡。</w:t>
      </w:r>
    </w:p>
    <w:p>
      <w:pPr>
        <w:keepNext w:val="0"/>
        <w:keepLines w:val="0"/>
        <w:pageBreakBefore w:val="0"/>
        <w:kinsoku/>
        <w:wordWrap/>
        <w:overflowPunct/>
        <w:topLinePunct w:val="0"/>
        <w:bidi w:val="0"/>
        <w:spacing w:line="360" w:lineRule="auto"/>
        <w:ind w:firstLine="66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（十五）发生保险事故时保险单项下保险牦牛有效保险数量：指保险单载明的牦牛保险数量扣除本次出险前保险公司已赔付的死亡牦牛数量。</w:t>
      </w:r>
    </w:p>
    <w:p>
      <w:pPr>
        <w:keepNext w:val="0"/>
        <w:keepLines w:val="0"/>
        <w:pageBreakBefore w:val="0"/>
        <w:kinsoku/>
        <w:wordWrap/>
        <w:overflowPunct/>
        <w:topLinePunct w:val="0"/>
        <w:bidi w:val="0"/>
        <w:spacing w:line="360" w:lineRule="auto"/>
        <w:ind w:firstLine="66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（十六）养殖场（户）：</w:t>
      </w:r>
      <w:r>
        <w:rPr>
          <w:rFonts w:hint="eastAsia" w:ascii="仿宋_GB2312" w:hAnsi="仿宋_GB2312" w:eastAsia="仿宋_GB2312" w:cs="仿宋_GB2312"/>
          <w:sz w:val="32"/>
          <w:szCs w:val="32"/>
        </w:rPr>
        <w:t>是指包括但不限于养殖户、专业合作社或养殖企业的养殖形式。</w:t>
      </w:r>
    </w:p>
    <w:sectPr>
      <w:footerReference r:id="rId3" w:type="default"/>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rPr>
      <w:instrText xml:space="preserve">PAGE  </w:instrText>
    </w:r>
    <w:r>
      <w:fldChar w:fldCharType="separate"/>
    </w:r>
    <w:r>
      <w:rPr>
        <w:rStyle w:val="21"/>
      </w:rPr>
      <w:t>10</w:t>
    </w:r>
    <w: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448BA"/>
    <w:rsid w:val="00000F79"/>
    <w:rsid w:val="00001BE5"/>
    <w:rsid w:val="00006139"/>
    <w:rsid w:val="00006477"/>
    <w:rsid w:val="00014358"/>
    <w:rsid w:val="00016501"/>
    <w:rsid w:val="00036094"/>
    <w:rsid w:val="00037979"/>
    <w:rsid w:val="0004080B"/>
    <w:rsid w:val="00044104"/>
    <w:rsid w:val="00055D0E"/>
    <w:rsid w:val="000576C2"/>
    <w:rsid w:val="00060A8B"/>
    <w:rsid w:val="00060ACD"/>
    <w:rsid w:val="00066778"/>
    <w:rsid w:val="00072B36"/>
    <w:rsid w:val="00073D75"/>
    <w:rsid w:val="00074A20"/>
    <w:rsid w:val="00086502"/>
    <w:rsid w:val="000873C8"/>
    <w:rsid w:val="00087E0C"/>
    <w:rsid w:val="00094B70"/>
    <w:rsid w:val="00094D14"/>
    <w:rsid w:val="0009511A"/>
    <w:rsid w:val="000A4682"/>
    <w:rsid w:val="000B5194"/>
    <w:rsid w:val="000C4AA6"/>
    <w:rsid w:val="000D2DD5"/>
    <w:rsid w:val="000D3C47"/>
    <w:rsid w:val="000D4034"/>
    <w:rsid w:val="000E5B3E"/>
    <w:rsid w:val="000F0A62"/>
    <w:rsid w:val="000F6050"/>
    <w:rsid w:val="000F7DA5"/>
    <w:rsid w:val="00100074"/>
    <w:rsid w:val="0010166E"/>
    <w:rsid w:val="00115173"/>
    <w:rsid w:val="00117494"/>
    <w:rsid w:val="00123B49"/>
    <w:rsid w:val="0012428D"/>
    <w:rsid w:val="00126F81"/>
    <w:rsid w:val="00127003"/>
    <w:rsid w:val="00134D97"/>
    <w:rsid w:val="001409CB"/>
    <w:rsid w:val="00141B4C"/>
    <w:rsid w:val="00141B9B"/>
    <w:rsid w:val="001448BA"/>
    <w:rsid w:val="00157FC2"/>
    <w:rsid w:val="00172DBD"/>
    <w:rsid w:val="0017423D"/>
    <w:rsid w:val="0017522D"/>
    <w:rsid w:val="0018319B"/>
    <w:rsid w:val="00183F35"/>
    <w:rsid w:val="00186634"/>
    <w:rsid w:val="001939CA"/>
    <w:rsid w:val="00194EB9"/>
    <w:rsid w:val="00197BCF"/>
    <w:rsid w:val="001A02F1"/>
    <w:rsid w:val="001A1E02"/>
    <w:rsid w:val="001A1F6B"/>
    <w:rsid w:val="001A50A0"/>
    <w:rsid w:val="001A588B"/>
    <w:rsid w:val="001B295E"/>
    <w:rsid w:val="001B621B"/>
    <w:rsid w:val="001C315B"/>
    <w:rsid w:val="001C37AC"/>
    <w:rsid w:val="001C5DA8"/>
    <w:rsid w:val="001D1888"/>
    <w:rsid w:val="001D23A7"/>
    <w:rsid w:val="001D63B3"/>
    <w:rsid w:val="001D6EAC"/>
    <w:rsid w:val="001D7506"/>
    <w:rsid w:val="001E52FD"/>
    <w:rsid w:val="001F1CE1"/>
    <w:rsid w:val="001F22A0"/>
    <w:rsid w:val="002021AE"/>
    <w:rsid w:val="00202306"/>
    <w:rsid w:val="0020470B"/>
    <w:rsid w:val="002064D7"/>
    <w:rsid w:val="002126AB"/>
    <w:rsid w:val="002153E5"/>
    <w:rsid w:val="00222BA7"/>
    <w:rsid w:val="00223698"/>
    <w:rsid w:val="00227053"/>
    <w:rsid w:val="002300C7"/>
    <w:rsid w:val="0023343F"/>
    <w:rsid w:val="00233A15"/>
    <w:rsid w:val="00233DD4"/>
    <w:rsid w:val="00235FEA"/>
    <w:rsid w:val="00241ED6"/>
    <w:rsid w:val="0024339D"/>
    <w:rsid w:val="002448DA"/>
    <w:rsid w:val="0025019A"/>
    <w:rsid w:val="002515D7"/>
    <w:rsid w:val="00252670"/>
    <w:rsid w:val="00256096"/>
    <w:rsid w:val="00263438"/>
    <w:rsid w:val="00264E76"/>
    <w:rsid w:val="00270D0A"/>
    <w:rsid w:val="00274768"/>
    <w:rsid w:val="00281277"/>
    <w:rsid w:val="00282232"/>
    <w:rsid w:val="00287031"/>
    <w:rsid w:val="00287F28"/>
    <w:rsid w:val="00291E2A"/>
    <w:rsid w:val="00291F9A"/>
    <w:rsid w:val="00294FB7"/>
    <w:rsid w:val="002A3460"/>
    <w:rsid w:val="002A51B2"/>
    <w:rsid w:val="002A6433"/>
    <w:rsid w:val="002B297A"/>
    <w:rsid w:val="002B375B"/>
    <w:rsid w:val="002D261C"/>
    <w:rsid w:val="002D5D23"/>
    <w:rsid w:val="002D7E17"/>
    <w:rsid w:val="002E724C"/>
    <w:rsid w:val="002F1111"/>
    <w:rsid w:val="002F2597"/>
    <w:rsid w:val="002F3991"/>
    <w:rsid w:val="002F4BDD"/>
    <w:rsid w:val="002F7E5D"/>
    <w:rsid w:val="00301218"/>
    <w:rsid w:val="00307809"/>
    <w:rsid w:val="00312539"/>
    <w:rsid w:val="003134E0"/>
    <w:rsid w:val="00323195"/>
    <w:rsid w:val="00330948"/>
    <w:rsid w:val="00331B1C"/>
    <w:rsid w:val="003451F2"/>
    <w:rsid w:val="00346416"/>
    <w:rsid w:val="00347C0D"/>
    <w:rsid w:val="00360E34"/>
    <w:rsid w:val="00361167"/>
    <w:rsid w:val="0036236F"/>
    <w:rsid w:val="003625D7"/>
    <w:rsid w:val="00365BF1"/>
    <w:rsid w:val="00373357"/>
    <w:rsid w:val="00373935"/>
    <w:rsid w:val="0037555C"/>
    <w:rsid w:val="00376777"/>
    <w:rsid w:val="0038214F"/>
    <w:rsid w:val="0038692C"/>
    <w:rsid w:val="00392B88"/>
    <w:rsid w:val="003943E5"/>
    <w:rsid w:val="0039681C"/>
    <w:rsid w:val="003B2232"/>
    <w:rsid w:val="003C32F5"/>
    <w:rsid w:val="003C75FC"/>
    <w:rsid w:val="003C7F1F"/>
    <w:rsid w:val="003D046E"/>
    <w:rsid w:val="003D1BD4"/>
    <w:rsid w:val="003D1DC6"/>
    <w:rsid w:val="003D25D6"/>
    <w:rsid w:val="003D30B1"/>
    <w:rsid w:val="003E07D0"/>
    <w:rsid w:val="003E224D"/>
    <w:rsid w:val="003E2DAD"/>
    <w:rsid w:val="003E3634"/>
    <w:rsid w:val="003E381C"/>
    <w:rsid w:val="003E5A9C"/>
    <w:rsid w:val="003E6931"/>
    <w:rsid w:val="003E726B"/>
    <w:rsid w:val="003F435D"/>
    <w:rsid w:val="003F49D6"/>
    <w:rsid w:val="003F50FC"/>
    <w:rsid w:val="003F6833"/>
    <w:rsid w:val="003F6AB7"/>
    <w:rsid w:val="0040525C"/>
    <w:rsid w:val="00407260"/>
    <w:rsid w:val="0040795B"/>
    <w:rsid w:val="00413B02"/>
    <w:rsid w:val="004140E6"/>
    <w:rsid w:val="00415693"/>
    <w:rsid w:val="00415F5E"/>
    <w:rsid w:val="004230FF"/>
    <w:rsid w:val="00432CBC"/>
    <w:rsid w:val="00436D72"/>
    <w:rsid w:val="00437B9B"/>
    <w:rsid w:val="0044210B"/>
    <w:rsid w:val="00442284"/>
    <w:rsid w:val="004522EF"/>
    <w:rsid w:val="00456EC4"/>
    <w:rsid w:val="004577C7"/>
    <w:rsid w:val="00461054"/>
    <w:rsid w:val="00467B1E"/>
    <w:rsid w:val="0047010A"/>
    <w:rsid w:val="00472F1B"/>
    <w:rsid w:val="004741B0"/>
    <w:rsid w:val="004774C1"/>
    <w:rsid w:val="004804A0"/>
    <w:rsid w:val="004807D5"/>
    <w:rsid w:val="00481C56"/>
    <w:rsid w:val="00484D76"/>
    <w:rsid w:val="00487AC7"/>
    <w:rsid w:val="00490161"/>
    <w:rsid w:val="00494740"/>
    <w:rsid w:val="004A38A1"/>
    <w:rsid w:val="004B0686"/>
    <w:rsid w:val="004B18E1"/>
    <w:rsid w:val="004B19EB"/>
    <w:rsid w:val="004B351B"/>
    <w:rsid w:val="004B70C9"/>
    <w:rsid w:val="004C2561"/>
    <w:rsid w:val="004C55AA"/>
    <w:rsid w:val="004C5864"/>
    <w:rsid w:val="004D062E"/>
    <w:rsid w:val="004D29BA"/>
    <w:rsid w:val="004D2A2D"/>
    <w:rsid w:val="004D5DB9"/>
    <w:rsid w:val="004D6731"/>
    <w:rsid w:val="004F47F2"/>
    <w:rsid w:val="004F6B4D"/>
    <w:rsid w:val="005068F0"/>
    <w:rsid w:val="005078FA"/>
    <w:rsid w:val="0051162A"/>
    <w:rsid w:val="00511B83"/>
    <w:rsid w:val="00511C1B"/>
    <w:rsid w:val="005129E3"/>
    <w:rsid w:val="00512A40"/>
    <w:rsid w:val="0052624A"/>
    <w:rsid w:val="00527E4C"/>
    <w:rsid w:val="00544BAC"/>
    <w:rsid w:val="005515FC"/>
    <w:rsid w:val="005533EA"/>
    <w:rsid w:val="00554DE3"/>
    <w:rsid w:val="0055524B"/>
    <w:rsid w:val="00561E43"/>
    <w:rsid w:val="0056244A"/>
    <w:rsid w:val="00562B63"/>
    <w:rsid w:val="00563A02"/>
    <w:rsid w:val="0056548C"/>
    <w:rsid w:val="00566A74"/>
    <w:rsid w:val="005675D7"/>
    <w:rsid w:val="005701D7"/>
    <w:rsid w:val="0057059E"/>
    <w:rsid w:val="00571F45"/>
    <w:rsid w:val="0057797F"/>
    <w:rsid w:val="00577FE5"/>
    <w:rsid w:val="005817A3"/>
    <w:rsid w:val="00581B52"/>
    <w:rsid w:val="00592105"/>
    <w:rsid w:val="00593A5D"/>
    <w:rsid w:val="00594B43"/>
    <w:rsid w:val="00597C6E"/>
    <w:rsid w:val="005A2E52"/>
    <w:rsid w:val="005A3E52"/>
    <w:rsid w:val="005A5A07"/>
    <w:rsid w:val="005A68E1"/>
    <w:rsid w:val="005A7286"/>
    <w:rsid w:val="005B5CA6"/>
    <w:rsid w:val="005B5E16"/>
    <w:rsid w:val="005C03BE"/>
    <w:rsid w:val="005C3177"/>
    <w:rsid w:val="005D22E1"/>
    <w:rsid w:val="005D2E2E"/>
    <w:rsid w:val="005D7176"/>
    <w:rsid w:val="005E3A05"/>
    <w:rsid w:val="005E5616"/>
    <w:rsid w:val="005F02D7"/>
    <w:rsid w:val="005F1D68"/>
    <w:rsid w:val="005F3136"/>
    <w:rsid w:val="005F5D4B"/>
    <w:rsid w:val="005F6207"/>
    <w:rsid w:val="005F66BB"/>
    <w:rsid w:val="005F705E"/>
    <w:rsid w:val="0060601A"/>
    <w:rsid w:val="00606106"/>
    <w:rsid w:val="0061033A"/>
    <w:rsid w:val="0061228E"/>
    <w:rsid w:val="0061639A"/>
    <w:rsid w:val="006173C2"/>
    <w:rsid w:val="00624146"/>
    <w:rsid w:val="006346A0"/>
    <w:rsid w:val="006353CF"/>
    <w:rsid w:val="006374CC"/>
    <w:rsid w:val="00645667"/>
    <w:rsid w:val="00650AE6"/>
    <w:rsid w:val="00651B1E"/>
    <w:rsid w:val="006549C8"/>
    <w:rsid w:val="006553E5"/>
    <w:rsid w:val="00667925"/>
    <w:rsid w:val="00675EDE"/>
    <w:rsid w:val="006774AC"/>
    <w:rsid w:val="00680D2C"/>
    <w:rsid w:val="00681335"/>
    <w:rsid w:val="00681913"/>
    <w:rsid w:val="006830DD"/>
    <w:rsid w:val="006846A6"/>
    <w:rsid w:val="00685DB5"/>
    <w:rsid w:val="00686F56"/>
    <w:rsid w:val="00687877"/>
    <w:rsid w:val="00687BCF"/>
    <w:rsid w:val="00691CB8"/>
    <w:rsid w:val="00696831"/>
    <w:rsid w:val="006A55B6"/>
    <w:rsid w:val="006A7414"/>
    <w:rsid w:val="006A7FC1"/>
    <w:rsid w:val="006B0BD6"/>
    <w:rsid w:val="006B1A40"/>
    <w:rsid w:val="006B2A06"/>
    <w:rsid w:val="006C4100"/>
    <w:rsid w:val="006D0D65"/>
    <w:rsid w:val="006D22C8"/>
    <w:rsid w:val="006D3711"/>
    <w:rsid w:val="006D4AA7"/>
    <w:rsid w:val="006D5311"/>
    <w:rsid w:val="006E0989"/>
    <w:rsid w:val="006E0E13"/>
    <w:rsid w:val="006E3C68"/>
    <w:rsid w:val="006E48E6"/>
    <w:rsid w:val="006E57EB"/>
    <w:rsid w:val="00703E90"/>
    <w:rsid w:val="00712740"/>
    <w:rsid w:val="0071492D"/>
    <w:rsid w:val="00716090"/>
    <w:rsid w:val="0071700C"/>
    <w:rsid w:val="00723646"/>
    <w:rsid w:val="00734540"/>
    <w:rsid w:val="007363C2"/>
    <w:rsid w:val="00743E50"/>
    <w:rsid w:val="007515F9"/>
    <w:rsid w:val="00757A8F"/>
    <w:rsid w:val="007612E2"/>
    <w:rsid w:val="0076527F"/>
    <w:rsid w:val="007712F3"/>
    <w:rsid w:val="0077167E"/>
    <w:rsid w:val="007720C1"/>
    <w:rsid w:val="00787E5B"/>
    <w:rsid w:val="00790746"/>
    <w:rsid w:val="007915E6"/>
    <w:rsid w:val="007918DD"/>
    <w:rsid w:val="00794C59"/>
    <w:rsid w:val="007A43AA"/>
    <w:rsid w:val="007A43D2"/>
    <w:rsid w:val="007B526C"/>
    <w:rsid w:val="007C2C7B"/>
    <w:rsid w:val="007C668D"/>
    <w:rsid w:val="007D0A24"/>
    <w:rsid w:val="007D29C5"/>
    <w:rsid w:val="007D2F86"/>
    <w:rsid w:val="007D61DE"/>
    <w:rsid w:val="007D6C77"/>
    <w:rsid w:val="007E4FA7"/>
    <w:rsid w:val="007F507A"/>
    <w:rsid w:val="00801C74"/>
    <w:rsid w:val="00807B7F"/>
    <w:rsid w:val="008113E8"/>
    <w:rsid w:val="00817872"/>
    <w:rsid w:val="00822849"/>
    <w:rsid w:val="00824AB5"/>
    <w:rsid w:val="00834677"/>
    <w:rsid w:val="00834EBD"/>
    <w:rsid w:val="00835F0C"/>
    <w:rsid w:val="008378BF"/>
    <w:rsid w:val="00840205"/>
    <w:rsid w:val="00851508"/>
    <w:rsid w:val="00852E16"/>
    <w:rsid w:val="00853CBB"/>
    <w:rsid w:val="0085692C"/>
    <w:rsid w:val="00860680"/>
    <w:rsid w:val="0086248A"/>
    <w:rsid w:val="008661FC"/>
    <w:rsid w:val="008667CE"/>
    <w:rsid w:val="00866BCD"/>
    <w:rsid w:val="00867A5E"/>
    <w:rsid w:val="00874BB3"/>
    <w:rsid w:val="00880272"/>
    <w:rsid w:val="00883AB7"/>
    <w:rsid w:val="00885898"/>
    <w:rsid w:val="0088644F"/>
    <w:rsid w:val="008871C1"/>
    <w:rsid w:val="008A0EE8"/>
    <w:rsid w:val="008A46AD"/>
    <w:rsid w:val="008A5FB2"/>
    <w:rsid w:val="008A6600"/>
    <w:rsid w:val="008A7040"/>
    <w:rsid w:val="008B1D62"/>
    <w:rsid w:val="008B2BA1"/>
    <w:rsid w:val="008B5C2E"/>
    <w:rsid w:val="008C57EC"/>
    <w:rsid w:val="008D0C0A"/>
    <w:rsid w:val="008D0C85"/>
    <w:rsid w:val="008D6F9C"/>
    <w:rsid w:val="008E4067"/>
    <w:rsid w:val="008E4F14"/>
    <w:rsid w:val="008E5D19"/>
    <w:rsid w:val="008F1310"/>
    <w:rsid w:val="008F4182"/>
    <w:rsid w:val="008F4F84"/>
    <w:rsid w:val="00903832"/>
    <w:rsid w:val="0090429E"/>
    <w:rsid w:val="00910E21"/>
    <w:rsid w:val="00913F34"/>
    <w:rsid w:val="009309D4"/>
    <w:rsid w:val="009458A0"/>
    <w:rsid w:val="00947BAC"/>
    <w:rsid w:val="00967A78"/>
    <w:rsid w:val="00970DF1"/>
    <w:rsid w:val="0097486A"/>
    <w:rsid w:val="009817AD"/>
    <w:rsid w:val="00987CF5"/>
    <w:rsid w:val="009A30AE"/>
    <w:rsid w:val="009A59B3"/>
    <w:rsid w:val="009A7AD5"/>
    <w:rsid w:val="009B0C8F"/>
    <w:rsid w:val="009B0CDC"/>
    <w:rsid w:val="009B2D4A"/>
    <w:rsid w:val="009B4F39"/>
    <w:rsid w:val="009B5064"/>
    <w:rsid w:val="009C3FB8"/>
    <w:rsid w:val="009D232D"/>
    <w:rsid w:val="009D43E7"/>
    <w:rsid w:val="009D43EC"/>
    <w:rsid w:val="009D4DF2"/>
    <w:rsid w:val="009E5102"/>
    <w:rsid w:val="009E52F3"/>
    <w:rsid w:val="009F27B0"/>
    <w:rsid w:val="009F5439"/>
    <w:rsid w:val="009F67B7"/>
    <w:rsid w:val="009F69B6"/>
    <w:rsid w:val="00A02C46"/>
    <w:rsid w:val="00A045C2"/>
    <w:rsid w:val="00A14477"/>
    <w:rsid w:val="00A17136"/>
    <w:rsid w:val="00A246B7"/>
    <w:rsid w:val="00A24DE7"/>
    <w:rsid w:val="00A34667"/>
    <w:rsid w:val="00A35F22"/>
    <w:rsid w:val="00A42C1C"/>
    <w:rsid w:val="00A430BD"/>
    <w:rsid w:val="00A5101E"/>
    <w:rsid w:val="00A52187"/>
    <w:rsid w:val="00A565A6"/>
    <w:rsid w:val="00A65B50"/>
    <w:rsid w:val="00A7102E"/>
    <w:rsid w:val="00A72E5C"/>
    <w:rsid w:val="00A74F91"/>
    <w:rsid w:val="00A7738B"/>
    <w:rsid w:val="00A8008E"/>
    <w:rsid w:val="00A873E1"/>
    <w:rsid w:val="00A87D04"/>
    <w:rsid w:val="00A963EA"/>
    <w:rsid w:val="00AA0724"/>
    <w:rsid w:val="00AA4978"/>
    <w:rsid w:val="00AA59FE"/>
    <w:rsid w:val="00AA61C3"/>
    <w:rsid w:val="00AB301F"/>
    <w:rsid w:val="00AB5CB1"/>
    <w:rsid w:val="00AB62CD"/>
    <w:rsid w:val="00AC0794"/>
    <w:rsid w:val="00AC1DFF"/>
    <w:rsid w:val="00AD3659"/>
    <w:rsid w:val="00AD4894"/>
    <w:rsid w:val="00AD5E45"/>
    <w:rsid w:val="00AE12EF"/>
    <w:rsid w:val="00AE390A"/>
    <w:rsid w:val="00AE410D"/>
    <w:rsid w:val="00AF39BC"/>
    <w:rsid w:val="00AF6589"/>
    <w:rsid w:val="00B035EB"/>
    <w:rsid w:val="00B0748A"/>
    <w:rsid w:val="00B07E0B"/>
    <w:rsid w:val="00B14E09"/>
    <w:rsid w:val="00B16F4D"/>
    <w:rsid w:val="00B175F5"/>
    <w:rsid w:val="00B226AE"/>
    <w:rsid w:val="00B24E90"/>
    <w:rsid w:val="00B25914"/>
    <w:rsid w:val="00B262D4"/>
    <w:rsid w:val="00B26601"/>
    <w:rsid w:val="00B26E5A"/>
    <w:rsid w:val="00B34CAA"/>
    <w:rsid w:val="00B36145"/>
    <w:rsid w:val="00B41713"/>
    <w:rsid w:val="00B41CED"/>
    <w:rsid w:val="00B462B4"/>
    <w:rsid w:val="00B506B6"/>
    <w:rsid w:val="00B600B6"/>
    <w:rsid w:val="00B634A3"/>
    <w:rsid w:val="00B65135"/>
    <w:rsid w:val="00B65F1D"/>
    <w:rsid w:val="00B666E5"/>
    <w:rsid w:val="00B7359B"/>
    <w:rsid w:val="00B74C89"/>
    <w:rsid w:val="00B80E88"/>
    <w:rsid w:val="00B87DD6"/>
    <w:rsid w:val="00B91682"/>
    <w:rsid w:val="00B9198E"/>
    <w:rsid w:val="00B921DD"/>
    <w:rsid w:val="00B93AA7"/>
    <w:rsid w:val="00B93F13"/>
    <w:rsid w:val="00B94CD2"/>
    <w:rsid w:val="00BA14CA"/>
    <w:rsid w:val="00BA1CE4"/>
    <w:rsid w:val="00BA33E3"/>
    <w:rsid w:val="00BA4DDD"/>
    <w:rsid w:val="00BB0C60"/>
    <w:rsid w:val="00BB59A8"/>
    <w:rsid w:val="00BC1CF2"/>
    <w:rsid w:val="00BC28BF"/>
    <w:rsid w:val="00BC3420"/>
    <w:rsid w:val="00BC4026"/>
    <w:rsid w:val="00BD02CC"/>
    <w:rsid w:val="00BD0AB9"/>
    <w:rsid w:val="00BD2D70"/>
    <w:rsid w:val="00BD3BBC"/>
    <w:rsid w:val="00BD62DD"/>
    <w:rsid w:val="00BD7EB8"/>
    <w:rsid w:val="00BE5F3D"/>
    <w:rsid w:val="00BE6DFC"/>
    <w:rsid w:val="00BF0EBA"/>
    <w:rsid w:val="00BF27A1"/>
    <w:rsid w:val="00BF29AC"/>
    <w:rsid w:val="00BF68DA"/>
    <w:rsid w:val="00C00ECC"/>
    <w:rsid w:val="00C03644"/>
    <w:rsid w:val="00C04933"/>
    <w:rsid w:val="00C17422"/>
    <w:rsid w:val="00C26BD6"/>
    <w:rsid w:val="00C318FE"/>
    <w:rsid w:val="00C36788"/>
    <w:rsid w:val="00C36C1B"/>
    <w:rsid w:val="00C4157B"/>
    <w:rsid w:val="00C44BD9"/>
    <w:rsid w:val="00C46310"/>
    <w:rsid w:val="00C5381B"/>
    <w:rsid w:val="00C541F8"/>
    <w:rsid w:val="00C555D0"/>
    <w:rsid w:val="00C6007B"/>
    <w:rsid w:val="00C614BB"/>
    <w:rsid w:val="00C64842"/>
    <w:rsid w:val="00C64EDB"/>
    <w:rsid w:val="00C65118"/>
    <w:rsid w:val="00C71BB4"/>
    <w:rsid w:val="00C729C5"/>
    <w:rsid w:val="00C76CCB"/>
    <w:rsid w:val="00C85BFD"/>
    <w:rsid w:val="00C86238"/>
    <w:rsid w:val="00C919A3"/>
    <w:rsid w:val="00C963A3"/>
    <w:rsid w:val="00C96613"/>
    <w:rsid w:val="00CA191D"/>
    <w:rsid w:val="00CA23E9"/>
    <w:rsid w:val="00CA3B09"/>
    <w:rsid w:val="00CA4B52"/>
    <w:rsid w:val="00CA7A98"/>
    <w:rsid w:val="00CB1092"/>
    <w:rsid w:val="00CB217F"/>
    <w:rsid w:val="00CB2B40"/>
    <w:rsid w:val="00CB3DD9"/>
    <w:rsid w:val="00CB47C4"/>
    <w:rsid w:val="00CB49AF"/>
    <w:rsid w:val="00CC64B3"/>
    <w:rsid w:val="00CC6AC6"/>
    <w:rsid w:val="00CD12F5"/>
    <w:rsid w:val="00CD4DF9"/>
    <w:rsid w:val="00CE7792"/>
    <w:rsid w:val="00CF665E"/>
    <w:rsid w:val="00D033DF"/>
    <w:rsid w:val="00D07FA4"/>
    <w:rsid w:val="00D12829"/>
    <w:rsid w:val="00D1325D"/>
    <w:rsid w:val="00D2159F"/>
    <w:rsid w:val="00D31DA9"/>
    <w:rsid w:val="00D331AA"/>
    <w:rsid w:val="00D34012"/>
    <w:rsid w:val="00D34C02"/>
    <w:rsid w:val="00D51EAC"/>
    <w:rsid w:val="00D56F96"/>
    <w:rsid w:val="00D57129"/>
    <w:rsid w:val="00D66E0A"/>
    <w:rsid w:val="00D67082"/>
    <w:rsid w:val="00D674E1"/>
    <w:rsid w:val="00D70F96"/>
    <w:rsid w:val="00D77F5A"/>
    <w:rsid w:val="00D81D96"/>
    <w:rsid w:val="00D951DB"/>
    <w:rsid w:val="00DA4494"/>
    <w:rsid w:val="00DA536F"/>
    <w:rsid w:val="00DA5AB2"/>
    <w:rsid w:val="00DB10BD"/>
    <w:rsid w:val="00DB22DC"/>
    <w:rsid w:val="00DB3F7E"/>
    <w:rsid w:val="00DB6B22"/>
    <w:rsid w:val="00DC080D"/>
    <w:rsid w:val="00DE37D7"/>
    <w:rsid w:val="00DF2C17"/>
    <w:rsid w:val="00DF310D"/>
    <w:rsid w:val="00DF6D9A"/>
    <w:rsid w:val="00E028B1"/>
    <w:rsid w:val="00E03C0A"/>
    <w:rsid w:val="00E05B90"/>
    <w:rsid w:val="00E10950"/>
    <w:rsid w:val="00E10B4D"/>
    <w:rsid w:val="00E161E6"/>
    <w:rsid w:val="00E16445"/>
    <w:rsid w:val="00E16AAE"/>
    <w:rsid w:val="00E2753A"/>
    <w:rsid w:val="00E30526"/>
    <w:rsid w:val="00E328DD"/>
    <w:rsid w:val="00E3417A"/>
    <w:rsid w:val="00E34AAC"/>
    <w:rsid w:val="00E358A1"/>
    <w:rsid w:val="00E35D04"/>
    <w:rsid w:val="00E53E65"/>
    <w:rsid w:val="00E54D2D"/>
    <w:rsid w:val="00E555A7"/>
    <w:rsid w:val="00E55AB1"/>
    <w:rsid w:val="00E55E09"/>
    <w:rsid w:val="00E5648E"/>
    <w:rsid w:val="00E564C4"/>
    <w:rsid w:val="00E61429"/>
    <w:rsid w:val="00E62E9E"/>
    <w:rsid w:val="00E647BC"/>
    <w:rsid w:val="00E67CC1"/>
    <w:rsid w:val="00E74F81"/>
    <w:rsid w:val="00E7563E"/>
    <w:rsid w:val="00E75E5E"/>
    <w:rsid w:val="00E76A4A"/>
    <w:rsid w:val="00E804BE"/>
    <w:rsid w:val="00E86BF0"/>
    <w:rsid w:val="00E91020"/>
    <w:rsid w:val="00E93282"/>
    <w:rsid w:val="00E941B2"/>
    <w:rsid w:val="00E941EC"/>
    <w:rsid w:val="00E975E2"/>
    <w:rsid w:val="00EA3C74"/>
    <w:rsid w:val="00EA5ACC"/>
    <w:rsid w:val="00EA6436"/>
    <w:rsid w:val="00EB5085"/>
    <w:rsid w:val="00EB557F"/>
    <w:rsid w:val="00EB644E"/>
    <w:rsid w:val="00EB6B78"/>
    <w:rsid w:val="00EB6F05"/>
    <w:rsid w:val="00ED47E3"/>
    <w:rsid w:val="00ED63C4"/>
    <w:rsid w:val="00EE0264"/>
    <w:rsid w:val="00EE123B"/>
    <w:rsid w:val="00EE61F7"/>
    <w:rsid w:val="00EE6809"/>
    <w:rsid w:val="00EE75D4"/>
    <w:rsid w:val="00EE7611"/>
    <w:rsid w:val="00EF12A5"/>
    <w:rsid w:val="00EF222A"/>
    <w:rsid w:val="00EF71E2"/>
    <w:rsid w:val="00F046C8"/>
    <w:rsid w:val="00F0575D"/>
    <w:rsid w:val="00F103FC"/>
    <w:rsid w:val="00F137A3"/>
    <w:rsid w:val="00F256C5"/>
    <w:rsid w:val="00F3201D"/>
    <w:rsid w:val="00F322A9"/>
    <w:rsid w:val="00F352A9"/>
    <w:rsid w:val="00F405AC"/>
    <w:rsid w:val="00F4095C"/>
    <w:rsid w:val="00F41872"/>
    <w:rsid w:val="00F46F7B"/>
    <w:rsid w:val="00F47837"/>
    <w:rsid w:val="00F5209E"/>
    <w:rsid w:val="00F52853"/>
    <w:rsid w:val="00F562AF"/>
    <w:rsid w:val="00F6150F"/>
    <w:rsid w:val="00F6442C"/>
    <w:rsid w:val="00F659E3"/>
    <w:rsid w:val="00F73506"/>
    <w:rsid w:val="00F73641"/>
    <w:rsid w:val="00F75670"/>
    <w:rsid w:val="00F81F3D"/>
    <w:rsid w:val="00F85F4D"/>
    <w:rsid w:val="00F86508"/>
    <w:rsid w:val="00F92F58"/>
    <w:rsid w:val="00F93F7E"/>
    <w:rsid w:val="00F97966"/>
    <w:rsid w:val="00FA0445"/>
    <w:rsid w:val="00FA59D0"/>
    <w:rsid w:val="00FB4380"/>
    <w:rsid w:val="00FB4900"/>
    <w:rsid w:val="00FB4ACF"/>
    <w:rsid w:val="00FB4B84"/>
    <w:rsid w:val="00FB5120"/>
    <w:rsid w:val="00FC021C"/>
    <w:rsid w:val="00FC0E71"/>
    <w:rsid w:val="00FC279A"/>
    <w:rsid w:val="00FC37F6"/>
    <w:rsid w:val="00FC5ED7"/>
    <w:rsid w:val="00FC6C09"/>
    <w:rsid w:val="00FC776A"/>
    <w:rsid w:val="00FD2755"/>
    <w:rsid w:val="00FD6249"/>
    <w:rsid w:val="00FD6F36"/>
    <w:rsid w:val="00FE066E"/>
    <w:rsid w:val="00FE25B4"/>
    <w:rsid w:val="00FE59A0"/>
    <w:rsid w:val="00FE74C6"/>
    <w:rsid w:val="00FF22FD"/>
    <w:rsid w:val="03634802"/>
    <w:rsid w:val="06004395"/>
    <w:rsid w:val="0895012B"/>
    <w:rsid w:val="0D5C5B19"/>
    <w:rsid w:val="11D63225"/>
    <w:rsid w:val="16D46893"/>
    <w:rsid w:val="199725C3"/>
    <w:rsid w:val="1BEF4851"/>
    <w:rsid w:val="1CE44C13"/>
    <w:rsid w:val="1D1B2D6D"/>
    <w:rsid w:val="242D5B86"/>
    <w:rsid w:val="26403F96"/>
    <w:rsid w:val="269077ED"/>
    <w:rsid w:val="2FED1391"/>
    <w:rsid w:val="30AD7F14"/>
    <w:rsid w:val="326557F5"/>
    <w:rsid w:val="32C6145B"/>
    <w:rsid w:val="3F0663E9"/>
    <w:rsid w:val="4679555A"/>
    <w:rsid w:val="48934C9B"/>
    <w:rsid w:val="4DED0DB5"/>
    <w:rsid w:val="50592612"/>
    <w:rsid w:val="5B76033B"/>
    <w:rsid w:val="5F4B0F0C"/>
    <w:rsid w:val="733778C1"/>
    <w:rsid w:val="762162F8"/>
    <w:rsid w:val="76A14D15"/>
    <w:rsid w:val="7E645B04"/>
    <w:rsid w:val="7EAE5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styleId="3">
    <w:name w:val="heading 1"/>
    <w:basedOn w:val="1"/>
    <w:next w:val="1"/>
    <w:qFormat/>
    <w:uiPriority w:val="0"/>
    <w:pPr>
      <w:keepNext/>
      <w:adjustRightInd/>
      <w:spacing w:line="440" w:lineRule="exact"/>
      <w:ind w:firstLine="562" w:firstLineChars="200"/>
      <w:jc w:val="center"/>
      <w:textAlignment w:val="auto"/>
      <w:outlineLvl w:val="0"/>
    </w:pPr>
    <w:rPr>
      <w:rFonts w:ascii="仿宋_GB2312" w:eastAsia="仿宋_GB2312" w:cs="仿宋_GB2312"/>
      <w:b/>
      <w:bCs/>
      <w:kern w:val="2"/>
      <w:sz w:val="28"/>
      <w:szCs w:val="28"/>
    </w:rPr>
  </w:style>
  <w:style w:type="paragraph" w:styleId="2">
    <w:name w:val="heading 2"/>
    <w:basedOn w:val="1"/>
    <w:next w:val="1"/>
    <w:qFormat/>
    <w:uiPriority w:val="0"/>
    <w:pPr>
      <w:keepNext/>
      <w:adjustRightInd/>
      <w:spacing w:line="240" w:lineRule="auto"/>
      <w:jc w:val="center"/>
      <w:textAlignment w:val="auto"/>
      <w:outlineLvl w:val="1"/>
    </w:pPr>
    <w:rPr>
      <w:rFonts w:ascii="Times" w:hAnsi="Times" w:cs="Times"/>
      <w:b/>
      <w:bCs/>
      <w:sz w:val="21"/>
      <w:szCs w:val="21"/>
    </w:rPr>
  </w:style>
  <w:style w:type="paragraph" w:styleId="4">
    <w:name w:val="heading 5"/>
    <w:basedOn w:val="1"/>
    <w:next w:val="1"/>
    <w:qFormat/>
    <w:uiPriority w:val="0"/>
    <w:pPr>
      <w:keepNext/>
      <w:adjustRightInd/>
      <w:spacing w:line="440" w:lineRule="exact"/>
      <w:jc w:val="center"/>
      <w:textAlignment w:val="auto"/>
      <w:outlineLvl w:val="4"/>
    </w:pPr>
    <w:rPr>
      <w:rFonts w:ascii="Arial" w:hAnsi="Arial" w:cs="Arial"/>
      <w:b/>
      <w:bCs/>
      <w:sz w:val="24"/>
      <w:szCs w:val="24"/>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0"/>
    <w:qFormat/>
    <w:uiPriority w:val="0"/>
    <w:pPr>
      <w:adjustRightInd w:val="0"/>
      <w:spacing w:line="312" w:lineRule="atLeast"/>
      <w:textAlignment w:val="baseline"/>
    </w:pPr>
    <w:rPr>
      <w:rFonts w:ascii="宋体" w:cs="宋体"/>
      <w:b/>
      <w:bCs/>
      <w:kern w:val="0"/>
      <w:sz w:val="34"/>
      <w:szCs w:val="34"/>
    </w:rPr>
  </w:style>
  <w:style w:type="paragraph" w:styleId="6">
    <w:name w:val="annotation text"/>
    <w:basedOn w:val="1"/>
    <w:link w:val="29"/>
    <w:semiHidden/>
    <w:qFormat/>
    <w:uiPriority w:val="0"/>
    <w:pPr>
      <w:adjustRightInd/>
      <w:spacing w:line="240" w:lineRule="auto"/>
      <w:jc w:val="left"/>
      <w:textAlignment w:val="auto"/>
    </w:pPr>
    <w:rPr>
      <w:rFonts w:ascii="Times New Roman" w:cs="Times New Roman"/>
      <w:kern w:val="2"/>
      <w:sz w:val="21"/>
      <w:szCs w:val="21"/>
    </w:rPr>
  </w:style>
  <w:style w:type="paragraph" w:styleId="7">
    <w:name w:val="List Bullet"/>
    <w:basedOn w:val="1"/>
    <w:qFormat/>
    <w:uiPriority w:val="0"/>
    <w:pPr>
      <w:tabs>
        <w:tab w:val="left" w:pos="360"/>
      </w:tabs>
      <w:adjustRightInd/>
      <w:spacing w:line="240" w:lineRule="auto"/>
      <w:ind w:left="360" w:hanging="360" w:hangingChars="200"/>
      <w:textAlignment w:val="auto"/>
    </w:pPr>
    <w:rPr>
      <w:rFonts w:ascii="Times New Roman" w:cs="Times New Roman"/>
      <w:kern w:val="2"/>
      <w:sz w:val="21"/>
      <w:szCs w:val="21"/>
    </w:rPr>
  </w:style>
  <w:style w:type="paragraph" w:styleId="8">
    <w:name w:val="Body Text 3"/>
    <w:basedOn w:val="1"/>
    <w:qFormat/>
    <w:uiPriority w:val="0"/>
    <w:pPr>
      <w:adjustRightInd/>
      <w:spacing w:line="440" w:lineRule="exact"/>
      <w:textAlignment w:val="auto"/>
    </w:pPr>
    <w:rPr>
      <w:rFonts w:ascii="Times New Roman" w:eastAsia="仿宋_GB2312" w:cs="Times New Roman"/>
      <w:color w:val="FF0000"/>
      <w:kern w:val="2"/>
      <w:sz w:val="24"/>
      <w:szCs w:val="24"/>
    </w:rPr>
  </w:style>
  <w:style w:type="paragraph" w:styleId="9">
    <w:name w:val="Body Text"/>
    <w:basedOn w:val="1"/>
    <w:qFormat/>
    <w:uiPriority w:val="0"/>
    <w:pPr>
      <w:adjustRightInd/>
      <w:spacing w:line="240" w:lineRule="auto"/>
      <w:jc w:val="center"/>
      <w:textAlignment w:val="auto"/>
    </w:pPr>
    <w:rPr>
      <w:rFonts w:ascii="仿宋_GB2312" w:eastAsia="仿宋_GB2312" w:cs="仿宋_GB2312"/>
      <w:b/>
      <w:bCs/>
      <w:kern w:val="2"/>
      <w:sz w:val="24"/>
      <w:szCs w:val="24"/>
    </w:rPr>
  </w:style>
  <w:style w:type="paragraph" w:styleId="10">
    <w:name w:val="Body Text Indent"/>
    <w:basedOn w:val="1"/>
    <w:qFormat/>
    <w:uiPriority w:val="0"/>
    <w:pPr>
      <w:adjustRightInd/>
      <w:spacing w:line="240" w:lineRule="auto"/>
      <w:ind w:firstLine="480"/>
      <w:textAlignment w:val="auto"/>
    </w:pPr>
    <w:rPr>
      <w:rFonts w:ascii="仿宋_GB2312" w:eastAsia="仿宋_GB2312" w:cs="仿宋_GB2312"/>
      <w:kern w:val="2"/>
      <w:sz w:val="24"/>
      <w:szCs w:val="24"/>
    </w:rPr>
  </w:style>
  <w:style w:type="paragraph" w:styleId="11">
    <w:name w:val="Plain Text"/>
    <w:basedOn w:val="1"/>
    <w:qFormat/>
    <w:uiPriority w:val="0"/>
    <w:pPr>
      <w:adjustRightInd/>
      <w:spacing w:line="240" w:lineRule="auto"/>
      <w:textAlignment w:val="auto"/>
    </w:pPr>
    <w:rPr>
      <w:rFonts w:hAnsi="Courier New"/>
      <w:kern w:val="2"/>
      <w:sz w:val="21"/>
      <w:szCs w:val="21"/>
    </w:rPr>
  </w:style>
  <w:style w:type="paragraph" w:styleId="12">
    <w:name w:val="Body Text Indent 2"/>
    <w:basedOn w:val="1"/>
    <w:qFormat/>
    <w:uiPriority w:val="0"/>
    <w:pPr>
      <w:adjustRightInd/>
      <w:spacing w:line="240" w:lineRule="auto"/>
      <w:ind w:firstLine="422"/>
      <w:textAlignment w:val="auto"/>
    </w:pPr>
    <w:rPr>
      <w:rFonts w:ascii="仿宋_GB2312" w:eastAsia="仿宋_GB2312" w:cs="仿宋_GB2312"/>
      <w:b/>
      <w:bCs/>
      <w:kern w:val="2"/>
      <w:sz w:val="21"/>
      <w:szCs w:val="21"/>
    </w:rPr>
  </w:style>
  <w:style w:type="paragraph" w:styleId="13">
    <w:name w:val="Balloon Text"/>
    <w:basedOn w:val="1"/>
    <w:semiHidden/>
    <w:qFormat/>
    <w:uiPriority w:val="0"/>
    <w:pPr>
      <w:adjustRightInd/>
      <w:spacing w:line="240" w:lineRule="auto"/>
      <w:textAlignment w:val="auto"/>
    </w:pPr>
    <w:rPr>
      <w:rFonts w:ascii="Times New Roman" w:cs="Times New Roman"/>
      <w:kern w:val="2"/>
      <w:sz w:val="18"/>
      <w:szCs w:val="18"/>
    </w:rPr>
  </w:style>
  <w:style w:type="paragraph" w:styleId="14">
    <w:name w:val="footer"/>
    <w:basedOn w:val="1"/>
    <w:qFormat/>
    <w:uiPriority w:val="0"/>
    <w:pPr>
      <w:tabs>
        <w:tab w:val="center" w:pos="4153"/>
        <w:tab w:val="right" w:pos="8306"/>
      </w:tabs>
      <w:adjustRightInd/>
      <w:snapToGrid w:val="0"/>
      <w:spacing w:line="240" w:lineRule="auto"/>
      <w:jc w:val="left"/>
      <w:textAlignment w:val="auto"/>
    </w:pPr>
    <w:rPr>
      <w:rFonts w:ascii="Times New Roman" w:cs="Times New Roman"/>
      <w:kern w:val="2"/>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Body Text Indent 3"/>
    <w:basedOn w:val="1"/>
    <w:qFormat/>
    <w:uiPriority w:val="0"/>
    <w:pPr>
      <w:adjustRightInd/>
      <w:spacing w:line="240" w:lineRule="auto"/>
      <w:ind w:firstLine="480" w:firstLineChars="200"/>
      <w:textAlignment w:val="auto"/>
    </w:pPr>
    <w:rPr>
      <w:rFonts w:ascii="仿宋_GB2312" w:hAnsi="Arial" w:eastAsia="仿宋_GB2312" w:cs="仿宋_GB2312"/>
      <w:sz w:val="24"/>
      <w:szCs w:val="24"/>
    </w:rPr>
  </w:style>
  <w:style w:type="paragraph" w:styleId="17">
    <w:name w:val="Body Text 2"/>
    <w:basedOn w:val="1"/>
    <w:qFormat/>
    <w:uiPriority w:val="0"/>
    <w:pPr>
      <w:adjustRightInd/>
      <w:spacing w:line="240" w:lineRule="auto"/>
      <w:textAlignment w:val="auto"/>
    </w:pPr>
    <w:rPr>
      <w:rFonts w:ascii="仿宋_GB2312" w:eastAsia="仿宋_GB2312" w:cs="仿宋_GB2312"/>
      <w:b/>
      <w:bCs/>
      <w:kern w:val="2"/>
      <w:sz w:val="28"/>
      <w:szCs w:val="28"/>
    </w:rPr>
  </w:style>
  <w:style w:type="paragraph" w:styleId="18">
    <w:name w:val="HTML Preformatted"/>
    <w:basedOn w:val="1"/>
    <w:link w:val="31"/>
    <w:qFormat/>
    <w:uiPriority w:val="0"/>
    <w:rPr>
      <w:rFonts w:ascii="Courier New" w:hAnsi="Courier New" w:cs="Courier New"/>
      <w:sz w:val="20"/>
      <w:szCs w:val="20"/>
    </w:rPr>
  </w:style>
  <w:style w:type="paragraph" w:styleId="19">
    <w:name w:val="Normal (Web)"/>
    <w:basedOn w:val="1"/>
    <w:qFormat/>
    <w:uiPriority w:val="0"/>
    <w:pPr>
      <w:widowControl/>
      <w:adjustRightInd/>
      <w:spacing w:before="100" w:beforeAutospacing="1" w:after="100" w:afterAutospacing="1" w:line="240" w:lineRule="auto"/>
      <w:jc w:val="left"/>
      <w:textAlignment w:val="auto"/>
    </w:pPr>
    <w:rPr>
      <w:rFonts w:hAnsi="宋体"/>
      <w:color w:val="000000"/>
      <w:sz w:val="24"/>
      <w:szCs w:val="24"/>
    </w:rPr>
  </w:style>
  <w:style w:type="character" w:styleId="21">
    <w:name w:val="page number"/>
    <w:basedOn w:val="20"/>
    <w:qFormat/>
    <w:uiPriority w:val="0"/>
  </w:style>
  <w:style w:type="character" w:styleId="22">
    <w:name w:val="annotation reference"/>
    <w:semiHidden/>
    <w:qFormat/>
    <w:uiPriority w:val="0"/>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apple-style-span"/>
    <w:basedOn w:val="20"/>
    <w:qFormat/>
    <w:uiPriority w:val="0"/>
  </w:style>
  <w:style w:type="character" w:customStyle="1" w:styleId="26">
    <w:name w:val="apple-converted-space"/>
    <w:basedOn w:val="20"/>
    <w:qFormat/>
    <w:uiPriority w:val="0"/>
  </w:style>
  <w:style w:type="paragraph" w:customStyle="1" w:styleId="27">
    <w:name w:val="Char Char Char Char"/>
    <w:basedOn w:val="1"/>
    <w:qFormat/>
    <w:uiPriority w:val="0"/>
    <w:pPr>
      <w:adjustRightInd/>
      <w:spacing w:line="240" w:lineRule="auto"/>
      <w:textAlignment w:val="auto"/>
    </w:pPr>
    <w:rPr>
      <w:rFonts w:ascii="Tahoma" w:hAnsi="Tahoma" w:cs="Tahoma"/>
      <w:kern w:val="2"/>
      <w:sz w:val="24"/>
      <w:szCs w:val="24"/>
    </w:rPr>
  </w:style>
  <w:style w:type="character" w:customStyle="1" w:styleId="28">
    <w:name w:val="页眉 Char"/>
    <w:link w:val="15"/>
    <w:qFormat/>
    <w:uiPriority w:val="0"/>
    <w:rPr>
      <w:rFonts w:ascii="宋体" w:cs="宋体"/>
      <w:sz w:val="18"/>
      <w:szCs w:val="18"/>
    </w:rPr>
  </w:style>
  <w:style w:type="character" w:customStyle="1" w:styleId="29">
    <w:name w:val="批注文字 Char"/>
    <w:basedOn w:val="20"/>
    <w:link w:val="6"/>
    <w:semiHidden/>
    <w:qFormat/>
    <w:uiPriority w:val="0"/>
    <w:rPr>
      <w:kern w:val="2"/>
      <w:sz w:val="21"/>
      <w:szCs w:val="21"/>
    </w:rPr>
  </w:style>
  <w:style w:type="character" w:customStyle="1" w:styleId="30">
    <w:name w:val="批注主题 Char"/>
    <w:basedOn w:val="29"/>
    <w:link w:val="5"/>
    <w:qFormat/>
    <w:uiPriority w:val="0"/>
    <w:rPr>
      <w:rFonts w:ascii="宋体" w:cs="宋体"/>
      <w:b/>
      <w:bCs/>
      <w:kern w:val="2"/>
      <w:sz w:val="34"/>
      <w:szCs w:val="34"/>
    </w:rPr>
  </w:style>
  <w:style w:type="character" w:customStyle="1" w:styleId="31">
    <w:name w:val="HTML 预设格式 Char"/>
    <w:basedOn w:val="20"/>
    <w:link w:val="18"/>
    <w:qFormat/>
    <w:uiPriority w:val="0"/>
    <w:rPr>
      <w:rFonts w:ascii="Courier New" w:hAnsi="Courier New" w:cs="Courier New"/>
    </w:rPr>
  </w:style>
  <w:style w:type="paragraph" w:customStyle="1" w:styleId="32">
    <w:name w:val="章节名格式"/>
    <w:basedOn w:val="1"/>
    <w:next w:val="9"/>
    <w:qFormat/>
    <w:uiPriority w:val="99"/>
    <w:pPr>
      <w:widowControl/>
      <w:autoSpaceDE w:val="0"/>
      <w:autoSpaceDN w:val="0"/>
      <w:adjustRightInd w:val="0"/>
      <w:spacing w:line="360" w:lineRule="auto"/>
      <w:ind w:left="1080"/>
      <w:jc w:val="center"/>
      <w:outlineLvl w:val="0"/>
    </w:pPr>
    <w:rPr>
      <w:rFonts w:ascii="仿宋_GB2312" w:hAnsi="华文仿宋" w:eastAsia="仿宋_GB2312"/>
      <w:b/>
      <w:color w:val="000000"/>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4384D-D7A7-48A7-8363-EF3048EA61FC}">
  <ds:schemaRefs/>
</ds:datastoreItem>
</file>

<file path=docProps/app.xml><?xml version="1.0" encoding="utf-8"?>
<Properties xmlns="http://schemas.openxmlformats.org/officeDocument/2006/extended-properties" xmlns:vt="http://schemas.openxmlformats.org/officeDocument/2006/docPropsVTypes">
  <Template>Normal</Template>
  <Company>PICC</Company>
  <Pages>10</Pages>
  <Words>824</Words>
  <Characters>4698</Characters>
  <Lines>39</Lines>
  <Paragraphs>11</Paragraphs>
  <TotalTime>4</TotalTime>
  <ScaleCrop>false</ScaleCrop>
  <LinksUpToDate>false</LinksUpToDate>
  <CharactersWithSpaces>5511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2021-04-22T06:30:00Z</dcterms:created>
  <dc:creator>吕倩</dc:creator>
  <cp:lastModifiedBy>刘燕</cp:lastModifiedBy>
  <cp:lastPrinted>2021-05-10T01:05:00Z</cp:lastPrinted>
  <dcterms:modified xsi:type="dcterms:W3CDTF">2023-05-11T08:53:58Z</dcterms:modified>
  <dc:subject>能繁母猪保险条款</dc:subject>
  <dc:title>中国人民保险公司保险条款框架</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29B3FB98088E44EFAEFCE8E795BC9B18</vt:lpwstr>
  </property>
</Properties>
</file>